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86736" w:rsidP="00EF5742" w:rsidRDefault="00086736" w14:paraId="3D6EB238" w14:textId="77777777">
      <w:pPr>
        <w:spacing w:after="0" w:line="240" w:lineRule="auto"/>
        <w:jc w:val="center"/>
        <w:rPr>
          <w:rFonts w:ascii="Calibri" w:hAnsi="Calibri" w:eastAsia="Calibri" w:cs="Calibri"/>
          <w:b/>
          <w:bCs/>
          <w:lang w:val="en-GB"/>
        </w:rPr>
      </w:pPr>
      <w:bookmarkStart w:name="_Hlk73889396" w:id="0"/>
      <w:bookmarkEnd w:id="0"/>
    </w:p>
    <w:p w:rsidR="00EF5742" w:rsidP="00EF5742" w:rsidRDefault="00EF5742" w14:paraId="6147B919" w14:textId="4B70B222">
      <w:pPr>
        <w:spacing w:after="0" w:line="240" w:lineRule="auto"/>
        <w:jc w:val="center"/>
        <w:rPr>
          <w:rFonts w:ascii="Calibri" w:hAnsi="Calibri" w:eastAsia="Calibri" w:cs="Calibri"/>
          <w:b/>
          <w:bCs/>
          <w:lang w:val="en-GB"/>
        </w:rPr>
      </w:pPr>
      <w:r>
        <w:rPr>
          <w:rFonts w:ascii="Calibri" w:hAnsi="Calibri" w:eastAsia="Calibri" w:cs="Calibri"/>
          <w:b/>
          <w:bCs/>
          <w:lang w:val="en-GB"/>
        </w:rPr>
        <w:t xml:space="preserve">HRP 2021: </w:t>
      </w:r>
      <w:r w:rsidRPr="00213EE0" w:rsidR="00D20414">
        <w:rPr>
          <w:rFonts w:ascii="Calibri" w:hAnsi="Calibri" w:eastAsia="Calibri" w:cs="Calibri"/>
          <w:b/>
          <w:bCs/>
          <w:lang w:val="en-GB"/>
        </w:rPr>
        <w:t xml:space="preserve">HC Briefing </w:t>
      </w:r>
      <w:r>
        <w:rPr>
          <w:rFonts w:ascii="Calibri" w:hAnsi="Calibri" w:eastAsia="Calibri" w:cs="Calibri"/>
          <w:b/>
          <w:bCs/>
          <w:lang w:val="en-GB"/>
        </w:rPr>
        <w:t xml:space="preserve">Note on </w:t>
      </w:r>
      <w:proofErr w:type="spellStart"/>
      <w:r>
        <w:rPr>
          <w:rFonts w:ascii="Calibri" w:hAnsi="Calibri" w:eastAsia="Calibri" w:cs="Calibri"/>
          <w:b/>
          <w:bCs/>
          <w:lang w:val="en-GB"/>
        </w:rPr>
        <w:t>WoS</w:t>
      </w:r>
      <w:proofErr w:type="spellEnd"/>
      <w:r>
        <w:rPr>
          <w:rFonts w:ascii="Calibri" w:hAnsi="Calibri" w:eastAsia="Calibri" w:cs="Calibri"/>
          <w:b/>
          <w:bCs/>
          <w:lang w:val="en-GB"/>
        </w:rPr>
        <w:t xml:space="preserve"> Sector Priorities and Budgets</w:t>
      </w:r>
    </w:p>
    <w:p w:rsidRPr="00EF5742" w:rsidR="00D20414" w:rsidP="4CBFB0F5" w:rsidRDefault="00D20414" w14:paraId="1C164F2A" w14:textId="2054339C">
      <w:pPr>
        <w:spacing w:after="0" w:line="240" w:lineRule="auto"/>
        <w:jc w:val="center"/>
        <w:rPr>
          <w:rFonts w:ascii="Calibri" w:hAnsi="Calibri" w:eastAsia="Calibri" w:cs="Calibri"/>
          <w:i w:val="1"/>
          <w:iCs w:val="1"/>
          <w:lang w:val="en-US"/>
        </w:rPr>
      </w:pPr>
      <w:r w:rsidRPr="4CBFB0F5" w:rsidR="00D20414">
        <w:rPr>
          <w:rFonts w:ascii="Calibri" w:hAnsi="Calibri" w:eastAsia="Calibri" w:cs="Calibri"/>
          <w:i w:val="1"/>
          <w:iCs w:val="1"/>
          <w:lang w:val="en-US"/>
        </w:rPr>
        <w:t xml:space="preserve">ahead of </w:t>
      </w:r>
      <w:r w:rsidRPr="4CBFB0F5" w:rsidR="00EF5742">
        <w:rPr>
          <w:rFonts w:ascii="Calibri" w:hAnsi="Calibri" w:eastAsia="Calibri" w:cs="Calibri"/>
          <w:i w:val="1"/>
          <w:iCs w:val="1"/>
          <w:lang w:val="en-US"/>
        </w:rPr>
        <w:t xml:space="preserve">‘HC </w:t>
      </w:r>
      <w:r w:rsidRPr="4CBFB0F5" w:rsidR="00EF5742">
        <w:rPr>
          <w:rFonts w:ascii="Calibri" w:hAnsi="Calibri" w:eastAsia="Calibri" w:cs="Calibri"/>
          <w:i w:val="1"/>
          <w:iCs w:val="1"/>
          <w:lang w:val="en-US"/>
        </w:rPr>
        <w:t>Defense</w:t>
      </w:r>
      <w:r w:rsidRPr="4CBFB0F5" w:rsidR="00EF5742">
        <w:rPr>
          <w:rFonts w:ascii="Calibri" w:hAnsi="Calibri" w:eastAsia="Calibri" w:cs="Calibri"/>
          <w:i w:val="1"/>
          <w:iCs w:val="1"/>
          <w:lang w:val="en-US"/>
        </w:rPr>
        <w:t>’</w:t>
      </w:r>
      <w:r w:rsidRPr="4CBFB0F5" w:rsidR="00EF5742">
        <w:rPr>
          <w:rFonts w:ascii="Calibri" w:hAnsi="Calibri" w:eastAsia="Calibri" w:cs="Calibri"/>
          <w:i w:val="1"/>
          <w:iCs w:val="1"/>
          <w:lang w:val="en-US"/>
        </w:rPr>
        <w:t xml:space="preserve">, </w:t>
      </w:r>
      <w:r w:rsidRPr="4CBFB0F5" w:rsidR="00D20414">
        <w:rPr>
          <w:rFonts w:ascii="Calibri" w:hAnsi="Calibri" w:eastAsia="Calibri" w:cs="Calibri"/>
          <w:i w:val="1"/>
          <w:iCs w:val="1"/>
          <w:lang w:val="en-US"/>
        </w:rPr>
        <w:t>8 June 2021</w:t>
      </w:r>
    </w:p>
    <w:p w:rsidRPr="00213EE0" w:rsidR="00D20414" w:rsidP="00D20414" w:rsidRDefault="00D20414" w14:paraId="1EE7B21C" w14:textId="77777777">
      <w:pPr>
        <w:spacing w:after="0" w:line="240" w:lineRule="auto"/>
        <w:rPr>
          <w:rFonts w:ascii="Calibri" w:hAnsi="Calibri" w:eastAsia="Calibri" w:cs="Calibri"/>
          <w:b/>
          <w:bCs/>
          <w:lang w:val="en-GB"/>
        </w:rPr>
      </w:pPr>
    </w:p>
    <w:p w:rsidRPr="00DD4CED" w:rsidR="00D20414" w:rsidP="00D20414" w:rsidRDefault="00D20414" w14:paraId="39A8AA53" w14:textId="7214542F">
      <w:pPr>
        <w:spacing w:after="0" w:line="240" w:lineRule="auto"/>
        <w:contextualSpacing/>
        <w:rPr>
          <w:rFonts w:ascii="Calibri" w:hAnsi="Calibri" w:eastAsia="Calibri" w:cs="Calibri"/>
          <w:sz w:val="2"/>
          <w:szCs w:val="2"/>
          <w:lang w:val="en-GB"/>
        </w:rPr>
      </w:pPr>
      <w:r w:rsidRPr="0039585C">
        <w:rPr>
          <w:rFonts w:ascii="Calibri" w:hAnsi="Calibri" w:eastAsia="Calibri" w:cs="Calibri"/>
          <w:b/>
          <w:bCs/>
          <w:noProof/>
        </w:rPr>
        <mc:AlternateContent>
          <mc:Choice Requires="wps">
            <w:drawing>
              <wp:anchor distT="45720" distB="45720" distL="114300" distR="114300" simplePos="0" relativeHeight="251658240" behindDoc="0" locked="0" layoutInCell="1" allowOverlap="1" wp14:anchorId="11D1C5C5" wp14:editId="6717F104">
                <wp:simplePos x="0" y="0"/>
                <wp:positionH relativeFrom="margin">
                  <wp:posOffset>248920</wp:posOffset>
                </wp:positionH>
                <wp:positionV relativeFrom="paragraph">
                  <wp:posOffset>102235</wp:posOffset>
                </wp:positionV>
                <wp:extent cx="6116320" cy="2470785"/>
                <wp:effectExtent l="0" t="0" r="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470785"/>
                        </a:xfrm>
                        <a:prstGeom prst="rect">
                          <a:avLst/>
                        </a:prstGeom>
                        <a:solidFill>
                          <a:schemeClr val="accent1">
                            <a:lumMod val="40000"/>
                            <a:lumOff val="60000"/>
                          </a:schemeClr>
                        </a:solidFill>
                        <a:ln w="9525">
                          <a:noFill/>
                          <a:miter lim="800000"/>
                          <a:headEnd/>
                          <a:tailEnd/>
                        </a:ln>
                      </wps:spPr>
                      <wps:txbx>
                        <w:txbxContent>
                          <w:p w:rsidRPr="007A408C" w:rsidR="00EB0E50" w:rsidP="00E819E6" w:rsidRDefault="00EB0E50" w14:paraId="142C23FD" w14:textId="4464FA0A">
                            <w:pPr>
                              <w:spacing w:after="0" w:line="240" w:lineRule="auto"/>
                              <w:rPr>
                                <w:rFonts w:ascii="Calibri" w:hAnsi="Calibri" w:eastAsia="Calibri" w:cs="Calibri"/>
                                <w:b/>
                                <w:bCs/>
                                <w:sz w:val="20"/>
                                <w:szCs w:val="20"/>
                                <w:lang w:val="en-GB"/>
                              </w:rPr>
                            </w:pPr>
                            <w:r>
                              <w:rPr>
                                <w:rFonts w:ascii="Calibri" w:hAnsi="Calibri" w:eastAsia="Calibri" w:cs="Calibri"/>
                                <w:b/>
                                <w:bCs/>
                                <w:sz w:val="20"/>
                                <w:szCs w:val="20"/>
                                <w:lang w:val="en-GB"/>
                              </w:rPr>
                              <w:t xml:space="preserve">Background and Rationale of ‘HC </w:t>
                            </w:r>
                            <w:proofErr w:type="spellStart"/>
                            <w:r>
                              <w:rPr>
                                <w:rFonts w:ascii="Calibri" w:hAnsi="Calibri" w:eastAsia="Calibri" w:cs="Calibri"/>
                                <w:b/>
                                <w:bCs/>
                                <w:sz w:val="20"/>
                                <w:szCs w:val="20"/>
                                <w:lang w:val="en-GB"/>
                              </w:rPr>
                              <w:t>Defense</w:t>
                            </w:r>
                            <w:proofErr w:type="spellEnd"/>
                            <w:r>
                              <w:rPr>
                                <w:rFonts w:ascii="Calibri" w:hAnsi="Calibri" w:eastAsia="Calibri" w:cs="Calibri"/>
                                <w:b/>
                                <w:bCs/>
                                <w:sz w:val="20"/>
                                <w:szCs w:val="20"/>
                                <w:lang w:val="en-GB"/>
                              </w:rPr>
                              <w:t xml:space="preserve">’: </w:t>
                            </w:r>
                            <w:r w:rsidRPr="007A408C">
                              <w:rPr>
                                <w:rFonts w:ascii="Calibri" w:hAnsi="Calibri" w:eastAsia="Calibri" w:cs="Calibri"/>
                                <w:b/>
                                <w:bCs/>
                                <w:sz w:val="20"/>
                                <w:szCs w:val="20"/>
                                <w:lang w:val="en-GB"/>
                              </w:rPr>
                              <w:t xml:space="preserve"> </w:t>
                            </w:r>
                          </w:p>
                          <w:p w:rsidRPr="00701339" w:rsidR="00EB0E50" w:rsidP="00E819E6" w:rsidRDefault="00EB0E50" w14:paraId="62A556CC" w14:textId="18D6B757">
                            <w:pPr>
                              <w:pStyle w:val="ListParagraph"/>
                              <w:numPr>
                                <w:ilvl w:val="0"/>
                                <w:numId w:val="1"/>
                              </w:numPr>
                              <w:ind w:left="450"/>
                              <w:rPr>
                                <w:rFonts w:eastAsia="Calibri"/>
                                <w:sz w:val="20"/>
                                <w:szCs w:val="20"/>
                                <w:lang w:val="en-GB"/>
                              </w:rPr>
                            </w:pPr>
                            <w:r>
                              <w:rPr>
                                <w:rFonts w:eastAsia="Calibri"/>
                                <w:sz w:val="20"/>
                                <w:szCs w:val="20"/>
                                <w:lang w:val="en-GB"/>
                              </w:rPr>
                              <w:t xml:space="preserve">In principle, all response projects submitted by partners under the 2021 HRP and, more widely, all </w:t>
                            </w:r>
                            <w:proofErr w:type="spellStart"/>
                            <w:r>
                              <w:rPr>
                                <w:rFonts w:eastAsia="Calibri"/>
                                <w:sz w:val="20"/>
                                <w:szCs w:val="20"/>
                                <w:lang w:val="en-GB"/>
                              </w:rPr>
                              <w:t>WoS</w:t>
                            </w:r>
                            <w:proofErr w:type="spellEnd"/>
                            <w:r>
                              <w:rPr>
                                <w:rFonts w:eastAsia="Calibri"/>
                                <w:sz w:val="20"/>
                                <w:szCs w:val="20"/>
                                <w:lang w:val="en-GB"/>
                              </w:rPr>
                              <w:t xml:space="preserve"> Sector budgets and targets (summarized in this note) are to be reviewed and approved by the HCs, with OCHA support. </w:t>
                            </w:r>
                          </w:p>
                          <w:p w:rsidR="00EB0E50" w:rsidP="00086736" w:rsidRDefault="00EB0E50" w14:paraId="5AE8FE30" w14:textId="3CA35808">
                            <w:pPr>
                              <w:pStyle w:val="ListParagraph"/>
                              <w:numPr>
                                <w:ilvl w:val="0"/>
                                <w:numId w:val="1"/>
                              </w:numPr>
                              <w:ind w:left="450"/>
                              <w:rPr>
                                <w:rFonts w:eastAsia="Calibri"/>
                                <w:sz w:val="20"/>
                                <w:szCs w:val="20"/>
                                <w:lang w:val="en-GB"/>
                              </w:rPr>
                            </w:pPr>
                            <w:r>
                              <w:rPr>
                                <w:rFonts w:eastAsia="Calibri"/>
                                <w:sz w:val="20"/>
                                <w:szCs w:val="20"/>
                                <w:lang w:val="en-GB"/>
                              </w:rPr>
                              <w:t xml:space="preserve">This ‘HC </w:t>
                            </w:r>
                            <w:proofErr w:type="spellStart"/>
                            <w:r>
                              <w:rPr>
                                <w:rFonts w:eastAsia="Calibri"/>
                                <w:sz w:val="20"/>
                                <w:szCs w:val="20"/>
                                <w:lang w:val="en-GB"/>
                              </w:rPr>
                              <w:t>defense</w:t>
                            </w:r>
                            <w:proofErr w:type="spellEnd"/>
                            <w:r>
                              <w:rPr>
                                <w:rFonts w:eastAsia="Calibri"/>
                                <w:sz w:val="20"/>
                                <w:szCs w:val="20"/>
                                <w:lang w:val="en-GB"/>
                              </w:rPr>
                              <w:t xml:space="preserve">’ provides an opportunity for the HCs to probe </w:t>
                            </w:r>
                            <w:proofErr w:type="spellStart"/>
                            <w:r>
                              <w:rPr>
                                <w:rFonts w:eastAsia="Calibri"/>
                                <w:sz w:val="20"/>
                                <w:szCs w:val="20"/>
                                <w:lang w:val="en-GB"/>
                              </w:rPr>
                              <w:t>WoS</w:t>
                            </w:r>
                            <w:proofErr w:type="spellEnd"/>
                            <w:r>
                              <w:rPr>
                                <w:rFonts w:eastAsia="Calibri"/>
                                <w:sz w:val="20"/>
                                <w:szCs w:val="20"/>
                                <w:lang w:val="en-GB"/>
                              </w:rPr>
                              <w:t xml:space="preserve"> Sectors on the coherence of their project development process, as well as on proposed targets and budgets – particularly by the ten organizations with the largest funding ask in each sector.  </w:t>
                            </w:r>
                          </w:p>
                          <w:p w:rsidR="00EB0E50" w:rsidP="00E819E6" w:rsidRDefault="00EB0E50" w14:paraId="4DDAFA90" w14:textId="6ED7D4B0">
                            <w:pPr>
                              <w:pStyle w:val="ListParagraph"/>
                              <w:numPr>
                                <w:ilvl w:val="0"/>
                                <w:numId w:val="1"/>
                              </w:numPr>
                              <w:ind w:left="450"/>
                              <w:rPr>
                                <w:rFonts w:eastAsia="Calibri"/>
                                <w:sz w:val="20"/>
                                <w:szCs w:val="20"/>
                                <w:lang w:val="en-GB"/>
                              </w:rPr>
                            </w:pPr>
                            <w:r>
                              <w:rPr>
                                <w:rFonts w:eastAsia="Calibri"/>
                                <w:sz w:val="20"/>
                                <w:szCs w:val="20"/>
                                <w:lang w:val="en-GB"/>
                              </w:rPr>
                              <w:t xml:space="preserve">If budgets and/or targets are deemed unrealistic, it is the HCs’ prerogative to ask for reductions / adjustments by </w:t>
                            </w:r>
                            <w:proofErr w:type="spellStart"/>
                            <w:r>
                              <w:rPr>
                                <w:rFonts w:eastAsia="Calibri"/>
                                <w:sz w:val="20"/>
                                <w:szCs w:val="20"/>
                                <w:lang w:val="en-GB"/>
                              </w:rPr>
                              <w:t>WoS</w:t>
                            </w:r>
                            <w:proofErr w:type="spellEnd"/>
                            <w:r>
                              <w:rPr>
                                <w:rFonts w:eastAsia="Calibri"/>
                                <w:sz w:val="20"/>
                                <w:szCs w:val="20"/>
                                <w:lang w:val="en-GB"/>
                              </w:rPr>
                              <w:t xml:space="preserve"> sector(s) or by specific organization(s) under each sector, to be implemented and re-submitted for final HC review/approval by 10 June.  </w:t>
                            </w:r>
                          </w:p>
                          <w:p w:rsidR="00EB0E50" w:rsidP="00086736" w:rsidRDefault="00EB0E50" w14:paraId="69E1B67A" w14:textId="45161A71">
                            <w:pPr>
                              <w:pStyle w:val="ListParagraph"/>
                              <w:numPr>
                                <w:ilvl w:val="0"/>
                                <w:numId w:val="1"/>
                              </w:numPr>
                              <w:ind w:left="450"/>
                              <w:rPr>
                                <w:rFonts w:eastAsia="Calibri"/>
                                <w:sz w:val="20"/>
                                <w:szCs w:val="20"/>
                                <w:lang w:val="en-GB"/>
                              </w:rPr>
                            </w:pPr>
                            <w:r>
                              <w:rPr>
                                <w:rFonts w:eastAsia="Calibri"/>
                                <w:sz w:val="20"/>
                                <w:szCs w:val="20"/>
                                <w:lang w:val="en-GB"/>
                              </w:rPr>
                              <w:t xml:space="preserve">Interaction with each </w:t>
                            </w:r>
                            <w:proofErr w:type="spellStart"/>
                            <w:r>
                              <w:rPr>
                                <w:rFonts w:eastAsia="Calibri"/>
                                <w:sz w:val="20"/>
                                <w:szCs w:val="20"/>
                                <w:lang w:val="en-GB"/>
                              </w:rPr>
                              <w:t>WoS</w:t>
                            </w:r>
                            <w:proofErr w:type="spellEnd"/>
                            <w:r>
                              <w:rPr>
                                <w:rFonts w:eastAsia="Calibri"/>
                                <w:sz w:val="20"/>
                                <w:szCs w:val="20"/>
                                <w:lang w:val="en-GB"/>
                              </w:rPr>
                              <w:t xml:space="preserve"> Sector during the meeting is limited to 15-20min, focusing on questions or suggestions which the HCs may have. At the beginning of each sector session, the </w:t>
                            </w:r>
                            <w:proofErr w:type="spellStart"/>
                            <w:r>
                              <w:rPr>
                                <w:rFonts w:eastAsia="Calibri"/>
                                <w:sz w:val="20"/>
                                <w:szCs w:val="20"/>
                                <w:lang w:val="en-GB"/>
                              </w:rPr>
                              <w:t>WoS</w:t>
                            </w:r>
                            <w:proofErr w:type="spellEnd"/>
                            <w:r>
                              <w:rPr>
                                <w:rFonts w:eastAsia="Calibri"/>
                                <w:sz w:val="20"/>
                                <w:szCs w:val="20"/>
                                <w:lang w:val="en-GB"/>
                              </w:rPr>
                              <w:t xml:space="preserve"> Sector Co-Coordinators will speak to key planning figures for 5 minutes, the rest of the time is for questions which the HCs may have for </w:t>
                            </w:r>
                            <w:proofErr w:type="spellStart"/>
                            <w:r>
                              <w:rPr>
                                <w:rFonts w:eastAsia="Calibri"/>
                                <w:sz w:val="20"/>
                                <w:szCs w:val="20"/>
                                <w:lang w:val="en-GB"/>
                              </w:rPr>
                              <w:t>WoS</w:t>
                            </w:r>
                            <w:proofErr w:type="spellEnd"/>
                            <w:r>
                              <w:rPr>
                                <w:rFonts w:eastAsia="Calibri"/>
                                <w:sz w:val="20"/>
                                <w:szCs w:val="20"/>
                                <w:lang w:val="en-GB"/>
                              </w:rPr>
                              <w:t xml:space="preserve"> Sector Coordinators.  </w:t>
                            </w:r>
                          </w:p>
                          <w:p w:rsidRPr="00242E4F" w:rsidR="00EB0E50" w:rsidP="00086736" w:rsidRDefault="00EB0E50" w14:paraId="09E92694" w14:textId="19EC6255">
                            <w:pPr>
                              <w:pStyle w:val="ListParagraph"/>
                              <w:numPr>
                                <w:ilvl w:val="0"/>
                                <w:numId w:val="1"/>
                              </w:numPr>
                              <w:ind w:left="450"/>
                              <w:rPr>
                                <w:rFonts w:eastAsia="Calibri"/>
                                <w:b/>
                                <w:bCs/>
                                <w:sz w:val="20"/>
                                <w:szCs w:val="20"/>
                                <w:lang w:val="en-GB"/>
                              </w:rPr>
                            </w:pPr>
                            <w:r w:rsidRPr="00242E4F">
                              <w:rPr>
                                <w:rFonts w:eastAsia="Calibri"/>
                                <w:b/>
                                <w:bCs/>
                                <w:sz w:val="20"/>
                                <w:szCs w:val="20"/>
                                <w:lang w:val="en-GB"/>
                              </w:rPr>
                              <w:t xml:space="preserve">This note </w:t>
                            </w:r>
                            <w:r w:rsidR="00712068">
                              <w:rPr>
                                <w:rFonts w:eastAsia="Calibri"/>
                                <w:b/>
                                <w:bCs/>
                                <w:sz w:val="20"/>
                                <w:szCs w:val="20"/>
                                <w:lang w:val="en-GB"/>
                              </w:rPr>
                              <w:t>also includes possible issues</w:t>
                            </w:r>
                            <w:r w:rsidRPr="00242E4F">
                              <w:rPr>
                                <w:rFonts w:eastAsia="Calibri"/>
                                <w:b/>
                                <w:bCs/>
                                <w:sz w:val="20"/>
                                <w:szCs w:val="20"/>
                                <w:lang w:val="en-GB"/>
                              </w:rPr>
                              <w:t xml:space="preserve"> to </w:t>
                            </w:r>
                            <w:r w:rsidR="00712068">
                              <w:rPr>
                                <w:rFonts w:eastAsia="Calibri"/>
                                <w:b/>
                                <w:bCs/>
                                <w:sz w:val="20"/>
                                <w:szCs w:val="20"/>
                                <w:lang w:val="en-GB"/>
                              </w:rPr>
                              <w:t xml:space="preserve">raise with </w:t>
                            </w:r>
                            <w:proofErr w:type="spellStart"/>
                            <w:r w:rsidRPr="00242E4F">
                              <w:rPr>
                                <w:rFonts w:eastAsia="Calibri"/>
                                <w:b/>
                                <w:bCs/>
                                <w:sz w:val="20"/>
                                <w:szCs w:val="20"/>
                                <w:lang w:val="en-GB"/>
                              </w:rPr>
                              <w:t>WoS</w:t>
                            </w:r>
                            <w:proofErr w:type="spellEnd"/>
                            <w:r w:rsidRPr="00242E4F">
                              <w:rPr>
                                <w:rFonts w:eastAsia="Calibri"/>
                                <w:b/>
                                <w:bCs/>
                                <w:sz w:val="20"/>
                                <w:szCs w:val="20"/>
                                <w:lang w:val="en-GB"/>
                              </w:rPr>
                              <w:t xml:space="preserve"> Sector Coordinators.   </w:t>
                            </w:r>
                            <w:r w:rsidRPr="00242E4F">
                              <w:rPr>
                                <w:b/>
                                <w:bCs/>
                                <w:sz w:val="20"/>
                                <w:szCs w:val="20"/>
                              </w:rPr>
                              <w:t xml:space="preserve"> </w:t>
                            </w:r>
                          </w:p>
                          <w:p w:rsidRPr="0039585C" w:rsidR="00EB0E50" w:rsidP="00D20414" w:rsidRDefault="00EB0E50" w14:paraId="5079AE1E" w14:textId="7777777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13048F1">
              <v:shapetype id="_x0000_t202" coordsize="21600,21600" o:spt="202" path="m,l,21600r21600,l21600,xe" w14:anchorId="11D1C5C5">
                <v:stroke joinstyle="miter"/>
                <v:path gradientshapeok="t" o:connecttype="rect"/>
              </v:shapetype>
              <v:shape id="_x0000_s1026" style="position:absolute;margin-left:19.6pt;margin-top:8.05pt;width:481.6pt;height:194.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b4c6e7 [13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nbOgIAAFoEAAAOAAAAZHJzL2Uyb0RvYy54bWysVNtu2zAMfR+wfxD0vviy3GrEKbp0HQZ0&#10;F6DdByiyHAuTRE1SYmdfX0pO0mB7G5YHQyKpw8NDMqvbQStyEM5LMDUtJjklwnBopNnV9Mfzw7sl&#10;JT4w0zAFRtT0KDy9Xb99s+ptJUroQDXCEQQxvuptTbsQbJVlnndCMz8BKww6W3CaBby6XdY41iO6&#10;VlmZ5/OsB9dYB1x4j9b70UnXCb9tBQ/f2taLQFRNkVtIX5e+2/jN1itW7RyzneQnGuwfWGgmDSa9&#10;QN2zwMjeyb+gtOQOPLRhwkFn0LaSi1QDVlPkf1Tz1DErUi0ojrcXmfz/g+VfD98dkQ32jhLDNLbo&#10;WQyBfICBlFGd3voKg54shoUBzTEyVurtI/CfnhjYdMzsxJ1z0HeCNciuiC+zq6cjjo8g2/4LNJiG&#10;7QMkoKF1OgKiGATRsUvHS2ciFY7GeVHM35fo4ugrp4t8sZylHKw6P7fOh08CNImHmjpsfYJnh0cf&#10;Ih1WnUMSfVCyeZBKpUscN7FRjhwYDgrjXJgwlqn2GvmO9mmOv3Fk0IyDNZrnZzOmSIMbkVJCf51E&#10;GdLX9GZWzhIvAzF7mj8tAy6Bkrqmy4h1yhHF/GiaFBKYVOMZkyhzUjcKOkobhu2AgVHyLTRH1NnB&#10;OOy4nHjowP2mpMdBr6n/tWdOUKI+G+zVTTGdxs1Il+lsEVV2157ttYcZjlA1DZSMx01I2xRVNHCH&#10;PW1lUvuVyYkrDnDS5LRscUOu7ynq9S9h/QIAAP//AwBQSwMEFAAGAAgAAAAhAGmKHlHeAAAACgEA&#10;AA8AAABkcnMvZG93bnJldi54bWxMj8FOwzAMhu9IvENkJG4sWRljlKYTmsQOHJjY0M5pY9qKxilN&#10;2pW3xzuNo/3/+vw5W0+uFSP2ofGkYT5TIJBKbxuqNHweXu9WIEI0ZE3rCTX8YoB1fn2VmdT6E33g&#10;uI+VYAiF1GioY+xSKUNZozNh5jskzr5870zksa+k7c2J4a6ViVJL6UxDfKE2HW5qLL/3g2PK2/sw&#10;HKpj8D9xs32U211hd6PWtzfTyzOIiFO8lOGsz+qQs1PhB7JBtBrunxJu8n45B3HOlUoWIAoNC/WQ&#10;gMwz+f+F/A8AAP//AwBQSwECLQAUAAYACAAAACEAtoM4kv4AAADhAQAAEwAAAAAAAAAAAAAAAAAA&#10;AAAAW0NvbnRlbnRfVHlwZXNdLnhtbFBLAQItABQABgAIAAAAIQA4/SH/1gAAAJQBAAALAAAAAAAA&#10;AAAAAAAAAC8BAABfcmVscy8ucmVsc1BLAQItABQABgAIAAAAIQBchRnbOgIAAFoEAAAOAAAAAAAA&#10;AAAAAAAAAC4CAABkcnMvZTJvRG9jLnhtbFBLAQItABQABgAIAAAAIQBpih5R3gAAAAoBAAAPAAAA&#10;AAAAAAAAAAAAAJQEAABkcnMvZG93bnJldi54bWxQSwUGAAAAAAQABADzAAAAnwUAAAAA&#10;">
                <v:textbox>
                  <w:txbxContent>
                    <w:p w:rsidRPr="007A408C" w:rsidR="00EB0E50" w:rsidP="00E819E6" w:rsidRDefault="00EB0E50" w14:paraId="538B1D8A" w14:textId="4464FA0A">
                      <w:pPr>
                        <w:spacing w:after="0" w:line="240" w:lineRule="auto"/>
                        <w:rPr>
                          <w:rFonts w:ascii="Calibri" w:hAnsi="Calibri" w:eastAsia="Calibri" w:cs="Calibri"/>
                          <w:b/>
                          <w:bCs/>
                          <w:sz w:val="20"/>
                          <w:szCs w:val="20"/>
                          <w:lang w:val="en-GB"/>
                        </w:rPr>
                      </w:pPr>
                      <w:r>
                        <w:rPr>
                          <w:rFonts w:ascii="Calibri" w:hAnsi="Calibri" w:eastAsia="Calibri" w:cs="Calibri"/>
                          <w:b/>
                          <w:bCs/>
                          <w:sz w:val="20"/>
                          <w:szCs w:val="20"/>
                          <w:lang w:val="en-GB"/>
                        </w:rPr>
                        <w:t xml:space="preserve">Background and Rationale of ‘HC </w:t>
                      </w:r>
                      <w:proofErr w:type="spellStart"/>
                      <w:r>
                        <w:rPr>
                          <w:rFonts w:ascii="Calibri" w:hAnsi="Calibri" w:eastAsia="Calibri" w:cs="Calibri"/>
                          <w:b/>
                          <w:bCs/>
                          <w:sz w:val="20"/>
                          <w:szCs w:val="20"/>
                          <w:lang w:val="en-GB"/>
                        </w:rPr>
                        <w:t>Defense</w:t>
                      </w:r>
                      <w:proofErr w:type="spellEnd"/>
                      <w:r>
                        <w:rPr>
                          <w:rFonts w:ascii="Calibri" w:hAnsi="Calibri" w:eastAsia="Calibri" w:cs="Calibri"/>
                          <w:b/>
                          <w:bCs/>
                          <w:sz w:val="20"/>
                          <w:szCs w:val="20"/>
                          <w:lang w:val="en-GB"/>
                        </w:rPr>
                        <w:t xml:space="preserve">’: </w:t>
                      </w:r>
                      <w:r w:rsidRPr="007A408C">
                        <w:rPr>
                          <w:rFonts w:ascii="Calibri" w:hAnsi="Calibri" w:eastAsia="Calibri" w:cs="Calibri"/>
                          <w:b/>
                          <w:bCs/>
                          <w:sz w:val="20"/>
                          <w:szCs w:val="20"/>
                          <w:lang w:val="en-GB"/>
                        </w:rPr>
                        <w:t xml:space="preserve"> </w:t>
                      </w:r>
                    </w:p>
                    <w:p w:rsidRPr="00701339" w:rsidR="00EB0E50" w:rsidP="00E819E6" w:rsidRDefault="00EB0E50" w14:paraId="594F1186" w14:textId="18D6B757">
                      <w:pPr>
                        <w:pStyle w:val="ListParagraph"/>
                        <w:numPr>
                          <w:ilvl w:val="0"/>
                          <w:numId w:val="1"/>
                        </w:numPr>
                        <w:ind w:left="450"/>
                        <w:rPr>
                          <w:rFonts w:eastAsia="Calibri"/>
                          <w:sz w:val="20"/>
                          <w:szCs w:val="20"/>
                          <w:lang w:val="en-GB"/>
                        </w:rPr>
                      </w:pPr>
                      <w:r>
                        <w:rPr>
                          <w:rFonts w:eastAsia="Calibri"/>
                          <w:sz w:val="20"/>
                          <w:szCs w:val="20"/>
                          <w:lang w:val="en-GB"/>
                        </w:rPr>
                        <w:t xml:space="preserve">In principle, all response projects submitted by partners under the 2021 HRP and, more widely, all </w:t>
                      </w:r>
                      <w:proofErr w:type="spellStart"/>
                      <w:r>
                        <w:rPr>
                          <w:rFonts w:eastAsia="Calibri"/>
                          <w:sz w:val="20"/>
                          <w:szCs w:val="20"/>
                          <w:lang w:val="en-GB"/>
                        </w:rPr>
                        <w:t>WoS</w:t>
                      </w:r>
                      <w:proofErr w:type="spellEnd"/>
                      <w:r>
                        <w:rPr>
                          <w:rFonts w:eastAsia="Calibri"/>
                          <w:sz w:val="20"/>
                          <w:szCs w:val="20"/>
                          <w:lang w:val="en-GB"/>
                        </w:rPr>
                        <w:t xml:space="preserve"> Sector budgets and targets (summarized in this note) are to be reviewed and approved by the HCs, with OCHA support. </w:t>
                      </w:r>
                    </w:p>
                    <w:p w:rsidR="00EB0E50" w:rsidP="00086736" w:rsidRDefault="00EB0E50" w14:paraId="14E72638" w14:textId="3CA35808">
                      <w:pPr>
                        <w:pStyle w:val="ListParagraph"/>
                        <w:numPr>
                          <w:ilvl w:val="0"/>
                          <w:numId w:val="1"/>
                        </w:numPr>
                        <w:ind w:left="450"/>
                        <w:rPr>
                          <w:rFonts w:eastAsia="Calibri"/>
                          <w:sz w:val="20"/>
                          <w:szCs w:val="20"/>
                          <w:lang w:val="en-GB"/>
                        </w:rPr>
                      </w:pPr>
                      <w:r>
                        <w:rPr>
                          <w:rFonts w:eastAsia="Calibri"/>
                          <w:sz w:val="20"/>
                          <w:szCs w:val="20"/>
                          <w:lang w:val="en-GB"/>
                        </w:rPr>
                        <w:t xml:space="preserve">This ‘HC </w:t>
                      </w:r>
                      <w:proofErr w:type="spellStart"/>
                      <w:r>
                        <w:rPr>
                          <w:rFonts w:eastAsia="Calibri"/>
                          <w:sz w:val="20"/>
                          <w:szCs w:val="20"/>
                          <w:lang w:val="en-GB"/>
                        </w:rPr>
                        <w:t>defense</w:t>
                      </w:r>
                      <w:proofErr w:type="spellEnd"/>
                      <w:r>
                        <w:rPr>
                          <w:rFonts w:eastAsia="Calibri"/>
                          <w:sz w:val="20"/>
                          <w:szCs w:val="20"/>
                          <w:lang w:val="en-GB"/>
                        </w:rPr>
                        <w:t xml:space="preserve">’ provides an opportunity for the HCs to probe </w:t>
                      </w:r>
                      <w:proofErr w:type="spellStart"/>
                      <w:r>
                        <w:rPr>
                          <w:rFonts w:eastAsia="Calibri"/>
                          <w:sz w:val="20"/>
                          <w:szCs w:val="20"/>
                          <w:lang w:val="en-GB"/>
                        </w:rPr>
                        <w:t>WoS</w:t>
                      </w:r>
                      <w:proofErr w:type="spellEnd"/>
                      <w:r>
                        <w:rPr>
                          <w:rFonts w:eastAsia="Calibri"/>
                          <w:sz w:val="20"/>
                          <w:szCs w:val="20"/>
                          <w:lang w:val="en-GB"/>
                        </w:rPr>
                        <w:t xml:space="preserve"> Sectors on the coherence of their project development process, as well as on proposed targets and budgets – particularly by the ten organizations with the largest funding ask in each sector.  </w:t>
                      </w:r>
                    </w:p>
                    <w:p w:rsidR="00EB0E50" w:rsidP="00E819E6" w:rsidRDefault="00EB0E50" w14:paraId="46874333" w14:textId="6ED7D4B0">
                      <w:pPr>
                        <w:pStyle w:val="ListParagraph"/>
                        <w:numPr>
                          <w:ilvl w:val="0"/>
                          <w:numId w:val="1"/>
                        </w:numPr>
                        <w:ind w:left="450"/>
                        <w:rPr>
                          <w:rFonts w:eastAsia="Calibri"/>
                          <w:sz w:val="20"/>
                          <w:szCs w:val="20"/>
                          <w:lang w:val="en-GB"/>
                        </w:rPr>
                      </w:pPr>
                      <w:r>
                        <w:rPr>
                          <w:rFonts w:eastAsia="Calibri"/>
                          <w:sz w:val="20"/>
                          <w:szCs w:val="20"/>
                          <w:lang w:val="en-GB"/>
                        </w:rPr>
                        <w:t xml:space="preserve">If budgets and/or targets are deemed unrealistic, it is the HCs’ prerogative to ask for reductions / adjustments by </w:t>
                      </w:r>
                      <w:proofErr w:type="spellStart"/>
                      <w:r>
                        <w:rPr>
                          <w:rFonts w:eastAsia="Calibri"/>
                          <w:sz w:val="20"/>
                          <w:szCs w:val="20"/>
                          <w:lang w:val="en-GB"/>
                        </w:rPr>
                        <w:t>WoS</w:t>
                      </w:r>
                      <w:proofErr w:type="spellEnd"/>
                      <w:r>
                        <w:rPr>
                          <w:rFonts w:eastAsia="Calibri"/>
                          <w:sz w:val="20"/>
                          <w:szCs w:val="20"/>
                          <w:lang w:val="en-GB"/>
                        </w:rPr>
                        <w:t xml:space="preserve"> sector(s) or by specific organization(s) under each sector, to be implemented and re-submitted for final HC review/approval by 10 June.  </w:t>
                      </w:r>
                    </w:p>
                    <w:p w:rsidR="00EB0E50" w:rsidP="00086736" w:rsidRDefault="00EB0E50" w14:paraId="65E9D80D" w14:textId="45161A71">
                      <w:pPr>
                        <w:pStyle w:val="ListParagraph"/>
                        <w:numPr>
                          <w:ilvl w:val="0"/>
                          <w:numId w:val="1"/>
                        </w:numPr>
                        <w:ind w:left="450"/>
                        <w:rPr>
                          <w:rFonts w:eastAsia="Calibri"/>
                          <w:sz w:val="20"/>
                          <w:szCs w:val="20"/>
                          <w:lang w:val="en-GB"/>
                        </w:rPr>
                      </w:pPr>
                      <w:r>
                        <w:rPr>
                          <w:rFonts w:eastAsia="Calibri"/>
                          <w:sz w:val="20"/>
                          <w:szCs w:val="20"/>
                          <w:lang w:val="en-GB"/>
                        </w:rPr>
                        <w:t xml:space="preserve">Interaction with each </w:t>
                      </w:r>
                      <w:proofErr w:type="spellStart"/>
                      <w:r>
                        <w:rPr>
                          <w:rFonts w:eastAsia="Calibri"/>
                          <w:sz w:val="20"/>
                          <w:szCs w:val="20"/>
                          <w:lang w:val="en-GB"/>
                        </w:rPr>
                        <w:t>WoS</w:t>
                      </w:r>
                      <w:proofErr w:type="spellEnd"/>
                      <w:r>
                        <w:rPr>
                          <w:rFonts w:eastAsia="Calibri"/>
                          <w:sz w:val="20"/>
                          <w:szCs w:val="20"/>
                          <w:lang w:val="en-GB"/>
                        </w:rPr>
                        <w:t xml:space="preserve"> Sector during the meeting is limited to 15-20min, focusing on questions or suggestions which the HCs may have. At the beginning of each sector session, the </w:t>
                      </w:r>
                      <w:proofErr w:type="spellStart"/>
                      <w:r>
                        <w:rPr>
                          <w:rFonts w:eastAsia="Calibri"/>
                          <w:sz w:val="20"/>
                          <w:szCs w:val="20"/>
                          <w:lang w:val="en-GB"/>
                        </w:rPr>
                        <w:t>WoS</w:t>
                      </w:r>
                      <w:proofErr w:type="spellEnd"/>
                      <w:r>
                        <w:rPr>
                          <w:rFonts w:eastAsia="Calibri"/>
                          <w:sz w:val="20"/>
                          <w:szCs w:val="20"/>
                          <w:lang w:val="en-GB"/>
                        </w:rPr>
                        <w:t xml:space="preserve"> Sector Co-Coordinators will speak to key planning figures for 5 minutes, the rest of the time is for questions which the HCs may have for </w:t>
                      </w:r>
                      <w:proofErr w:type="spellStart"/>
                      <w:r>
                        <w:rPr>
                          <w:rFonts w:eastAsia="Calibri"/>
                          <w:sz w:val="20"/>
                          <w:szCs w:val="20"/>
                          <w:lang w:val="en-GB"/>
                        </w:rPr>
                        <w:t>WoS</w:t>
                      </w:r>
                      <w:proofErr w:type="spellEnd"/>
                      <w:r>
                        <w:rPr>
                          <w:rFonts w:eastAsia="Calibri"/>
                          <w:sz w:val="20"/>
                          <w:szCs w:val="20"/>
                          <w:lang w:val="en-GB"/>
                        </w:rPr>
                        <w:t xml:space="preserve"> Sector Coordinators.  </w:t>
                      </w:r>
                    </w:p>
                    <w:p w:rsidRPr="00242E4F" w:rsidR="00EB0E50" w:rsidP="00086736" w:rsidRDefault="00EB0E50" w14:paraId="765E9BDF" w14:textId="19EC6255">
                      <w:pPr>
                        <w:pStyle w:val="ListParagraph"/>
                        <w:numPr>
                          <w:ilvl w:val="0"/>
                          <w:numId w:val="1"/>
                        </w:numPr>
                        <w:ind w:left="450"/>
                        <w:rPr>
                          <w:rFonts w:eastAsia="Calibri"/>
                          <w:b/>
                          <w:bCs/>
                          <w:sz w:val="20"/>
                          <w:szCs w:val="20"/>
                          <w:lang w:val="en-GB"/>
                        </w:rPr>
                      </w:pPr>
                      <w:r w:rsidRPr="00242E4F">
                        <w:rPr>
                          <w:rFonts w:eastAsia="Calibri"/>
                          <w:b/>
                          <w:bCs/>
                          <w:sz w:val="20"/>
                          <w:szCs w:val="20"/>
                          <w:lang w:val="en-GB"/>
                        </w:rPr>
                        <w:t xml:space="preserve">This note </w:t>
                      </w:r>
                      <w:r w:rsidR="00712068">
                        <w:rPr>
                          <w:rFonts w:eastAsia="Calibri"/>
                          <w:b/>
                          <w:bCs/>
                          <w:sz w:val="20"/>
                          <w:szCs w:val="20"/>
                          <w:lang w:val="en-GB"/>
                        </w:rPr>
                        <w:t>also includes possible issues</w:t>
                      </w:r>
                      <w:r w:rsidRPr="00242E4F">
                        <w:rPr>
                          <w:rFonts w:eastAsia="Calibri"/>
                          <w:b/>
                          <w:bCs/>
                          <w:sz w:val="20"/>
                          <w:szCs w:val="20"/>
                          <w:lang w:val="en-GB"/>
                        </w:rPr>
                        <w:t xml:space="preserve"> to </w:t>
                      </w:r>
                      <w:r w:rsidR="00712068">
                        <w:rPr>
                          <w:rFonts w:eastAsia="Calibri"/>
                          <w:b/>
                          <w:bCs/>
                          <w:sz w:val="20"/>
                          <w:szCs w:val="20"/>
                          <w:lang w:val="en-GB"/>
                        </w:rPr>
                        <w:t xml:space="preserve">raise with </w:t>
                      </w:r>
                      <w:proofErr w:type="spellStart"/>
                      <w:r w:rsidRPr="00242E4F">
                        <w:rPr>
                          <w:rFonts w:eastAsia="Calibri"/>
                          <w:b/>
                          <w:bCs/>
                          <w:sz w:val="20"/>
                          <w:szCs w:val="20"/>
                          <w:lang w:val="en-GB"/>
                        </w:rPr>
                        <w:t>WoS</w:t>
                      </w:r>
                      <w:proofErr w:type="spellEnd"/>
                      <w:r w:rsidRPr="00242E4F">
                        <w:rPr>
                          <w:rFonts w:eastAsia="Calibri"/>
                          <w:b/>
                          <w:bCs/>
                          <w:sz w:val="20"/>
                          <w:szCs w:val="20"/>
                          <w:lang w:val="en-GB"/>
                        </w:rPr>
                        <w:t xml:space="preserve"> Sector Coordinators.   </w:t>
                      </w:r>
                      <w:r w:rsidRPr="00242E4F">
                        <w:rPr>
                          <w:b/>
                          <w:bCs/>
                          <w:sz w:val="20"/>
                          <w:szCs w:val="20"/>
                        </w:rPr>
                        <w:t xml:space="preserve"> </w:t>
                      </w:r>
                    </w:p>
                    <w:p w:rsidRPr="0039585C" w:rsidR="00EB0E50" w:rsidP="00D20414" w:rsidRDefault="00EB0E50" w14:paraId="672A6659" w14:textId="77777777">
                      <w:pPr>
                        <w:rPr>
                          <w:lang w:val="en-GB"/>
                        </w:rPr>
                      </w:pPr>
                    </w:p>
                  </w:txbxContent>
                </v:textbox>
                <w10:wrap type="square" anchorx="margin"/>
              </v:shape>
            </w:pict>
          </mc:Fallback>
        </mc:AlternateContent>
      </w:r>
    </w:p>
    <w:p w:rsidR="00E819E6" w:rsidP="00712068" w:rsidRDefault="00E819E6" w14:paraId="2E6E1B70" w14:textId="77777777">
      <w:pPr>
        <w:spacing w:after="60" w:line="240" w:lineRule="auto"/>
        <w:jc w:val="center"/>
        <w:rPr>
          <w:rFonts w:ascii="Calibri" w:hAnsi="Calibri" w:eastAsia="Calibri" w:cs="Calibri"/>
          <w:b/>
          <w:sz w:val="24"/>
          <w:szCs w:val="24"/>
          <w:lang w:val="en-GB"/>
        </w:rPr>
      </w:pPr>
    </w:p>
    <w:p w:rsidRPr="00712068" w:rsidR="0094144D" w:rsidP="00712068" w:rsidRDefault="00712068" w14:paraId="61167CF7" w14:textId="71C354EC">
      <w:pPr>
        <w:spacing w:after="60" w:line="240" w:lineRule="auto"/>
        <w:jc w:val="center"/>
        <w:rPr>
          <w:rFonts w:ascii="Calibri" w:hAnsi="Calibri" w:eastAsia="Calibri" w:cs="Calibri"/>
          <w:b/>
          <w:sz w:val="24"/>
          <w:szCs w:val="24"/>
          <w:lang w:val="en-GB"/>
        </w:rPr>
      </w:pPr>
      <w:r w:rsidRPr="00712068">
        <w:rPr>
          <w:rFonts w:ascii="Calibri" w:hAnsi="Calibri" w:eastAsia="Calibri" w:cs="Calibri"/>
          <w:b/>
          <w:bCs/>
          <w:sz w:val="24"/>
          <w:szCs w:val="24"/>
          <w:lang w:val="en-GB"/>
        </w:rPr>
        <w:t xml:space="preserve">SUMMARY: </w:t>
      </w:r>
    </w:p>
    <w:p w:rsidRPr="00664AC3" w:rsidR="00664AC3" w:rsidP="0025510F" w:rsidRDefault="0025510F" w14:paraId="2D5C93C5" w14:textId="671DF683">
      <w:pPr>
        <w:spacing w:after="60" w:line="240" w:lineRule="auto"/>
        <w:rPr>
          <w:rFonts w:ascii="Calibri" w:hAnsi="Calibri" w:eastAsia="Calibri" w:cs="Calibri"/>
          <w:i/>
          <w:iCs/>
          <w:sz w:val="19"/>
          <w:szCs w:val="19"/>
          <w:lang w:val="en-GB"/>
        </w:rPr>
      </w:pPr>
      <w:r>
        <w:rPr>
          <w:rFonts w:ascii="Calibri" w:hAnsi="Calibri" w:eastAsia="Calibri" w:cs="Calibri"/>
          <w:i/>
          <w:iCs/>
          <w:sz w:val="19"/>
          <w:szCs w:val="19"/>
          <w:lang w:val="en-GB"/>
        </w:rPr>
        <w:t xml:space="preserve">2021 HRP financial requirements: </w:t>
      </w:r>
      <w:r w:rsidRPr="00664AC3" w:rsidR="00664AC3">
        <w:rPr>
          <w:rFonts w:ascii="Calibri" w:hAnsi="Calibri" w:eastAsia="Calibri" w:cs="Calibri"/>
          <w:i/>
          <w:iCs/>
          <w:sz w:val="19"/>
          <w:szCs w:val="19"/>
          <w:lang w:val="en-GB"/>
        </w:rPr>
        <w:t xml:space="preserve"> </w:t>
      </w:r>
    </w:p>
    <w:p w:rsidR="00CE7AF7" w:rsidP="0025510F" w:rsidRDefault="0025510F" w14:paraId="767E6915" w14:textId="0B131FE8">
      <w:pPr>
        <w:pStyle w:val="ListParagraph"/>
        <w:numPr>
          <w:ilvl w:val="0"/>
          <w:numId w:val="1"/>
        </w:numPr>
        <w:spacing w:after="60"/>
        <w:ind w:left="446"/>
        <w:rPr>
          <w:rFonts w:eastAsia="Calibri"/>
          <w:sz w:val="19"/>
          <w:szCs w:val="19"/>
          <w:lang w:val="en-GB"/>
        </w:rPr>
      </w:pPr>
      <w:r>
        <w:rPr>
          <w:rFonts w:eastAsia="Calibri"/>
          <w:sz w:val="19"/>
          <w:szCs w:val="19"/>
          <w:lang w:val="en-GB"/>
        </w:rPr>
        <w:t>D</w:t>
      </w:r>
      <w:r w:rsidR="00CE7AF7">
        <w:rPr>
          <w:rFonts w:eastAsia="Calibri"/>
          <w:sz w:val="19"/>
          <w:szCs w:val="19"/>
          <w:lang w:val="en-GB"/>
        </w:rPr>
        <w:t xml:space="preserve">raft </w:t>
      </w:r>
      <w:r>
        <w:rPr>
          <w:rFonts w:eastAsia="Calibri"/>
          <w:sz w:val="19"/>
          <w:szCs w:val="19"/>
          <w:lang w:val="en-GB"/>
        </w:rPr>
        <w:t xml:space="preserve">requirements </w:t>
      </w:r>
      <w:r w:rsidR="00CE7AF7">
        <w:rPr>
          <w:rFonts w:eastAsia="Calibri"/>
          <w:sz w:val="19"/>
          <w:szCs w:val="19"/>
          <w:lang w:val="en-GB"/>
        </w:rPr>
        <w:t xml:space="preserve">(US$4.2bn) </w:t>
      </w:r>
      <w:r>
        <w:rPr>
          <w:rFonts w:eastAsia="Calibri"/>
          <w:sz w:val="19"/>
          <w:szCs w:val="19"/>
          <w:lang w:val="en-GB"/>
        </w:rPr>
        <w:t>are</w:t>
      </w:r>
      <w:r w:rsidR="00CE7AF7">
        <w:rPr>
          <w:rFonts w:eastAsia="Calibri"/>
          <w:sz w:val="19"/>
          <w:szCs w:val="19"/>
          <w:lang w:val="en-GB"/>
        </w:rPr>
        <w:t xml:space="preserve"> </w:t>
      </w:r>
      <w:r w:rsidRPr="004500C0" w:rsidR="00CE7AF7">
        <w:rPr>
          <w:rFonts w:eastAsia="Calibri"/>
          <w:b/>
          <w:sz w:val="19"/>
          <w:szCs w:val="19"/>
          <w:lang w:val="en-GB"/>
        </w:rPr>
        <w:t>in line with earlier estimations</w:t>
      </w:r>
      <w:r w:rsidR="00CE7AF7">
        <w:rPr>
          <w:rFonts w:eastAsia="Calibri"/>
          <w:sz w:val="19"/>
          <w:szCs w:val="19"/>
          <w:lang w:val="en-GB"/>
        </w:rPr>
        <w:t xml:space="preserve"> presented at Brussels V, i.e. most of the now fully </w:t>
      </w:r>
      <w:proofErr w:type="gramStart"/>
      <w:r w:rsidR="00CE7AF7">
        <w:rPr>
          <w:rFonts w:eastAsia="Calibri"/>
          <w:sz w:val="19"/>
          <w:szCs w:val="19"/>
          <w:lang w:val="en-GB"/>
        </w:rPr>
        <w:t>project-based</w:t>
      </w:r>
      <w:proofErr w:type="gramEnd"/>
      <w:r w:rsidR="00CE7AF7">
        <w:rPr>
          <w:rFonts w:eastAsia="Calibri"/>
          <w:sz w:val="19"/>
          <w:szCs w:val="19"/>
          <w:lang w:val="en-GB"/>
        </w:rPr>
        <w:t xml:space="preserve"> </w:t>
      </w:r>
      <w:proofErr w:type="spellStart"/>
      <w:r w:rsidR="00CE7AF7">
        <w:rPr>
          <w:rFonts w:eastAsia="Calibri"/>
          <w:sz w:val="19"/>
          <w:szCs w:val="19"/>
          <w:lang w:val="en-GB"/>
        </w:rPr>
        <w:t>WoS</w:t>
      </w:r>
      <w:proofErr w:type="spellEnd"/>
      <w:r w:rsidR="00CE7AF7">
        <w:rPr>
          <w:rFonts w:eastAsia="Calibri"/>
          <w:sz w:val="19"/>
          <w:szCs w:val="19"/>
          <w:lang w:val="en-GB"/>
        </w:rPr>
        <w:t xml:space="preserve"> Sector budgets are similar to</w:t>
      </w:r>
      <w:r>
        <w:rPr>
          <w:rFonts w:eastAsia="Calibri"/>
          <w:sz w:val="19"/>
          <w:szCs w:val="19"/>
          <w:lang w:val="en-GB"/>
        </w:rPr>
        <w:t xml:space="preserve"> initial</w:t>
      </w:r>
      <w:r w:rsidR="00CE7AF7">
        <w:rPr>
          <w:rFonts w:eastAsia="Calibri"/>
          <w:sz w:val="19"/>
          <w:szCs w:val="19"/>
          <w:lang w:val="en-GB"/>
        </w:rPr>
        <w:t xml:space="preserve"> </w:t>
      </w:r>
      <w:proofErr w:type="spellStart"/>
      <w:r w:rsidR="00CE7AF7">
        <w:rPr>
          <w:rFonts w:eastAsia="Calibri"/>
          <w:sz w:val="19"/>
          <w:szCs w:val="19"/>
          <w:lang w:val="en-GB"/>
        </w:rPr>
        <w:t>WoS</w:t>
      </w:r>
      <w:proofErr w:type="spellEnd"/>
      <w:r w:rsidR="00CE7AF7">
        <w:rPr>
          <w:rFonts w:eastAsia="Calibri"/>
          <w:sz w:val="19"/>
          <w:szCs w:val="19"/>
          <w:lang w:val="en-GB"/>
        </w:rPr>
        <w:t xml:space="preserve"> Sector estimations in March.   </w:t>
      </w:r>
    </w:p>
    <w:p w:rsidRPr="004500C0" w:rsidR="00CE7AF7" w:rsidP="00B843C4" w:rsidRDefault="00CE7AF7" w14:paraId="65AB1200" w14:textId="1DC15B8A">
      <w:pPr>
        <w:pStyle w:val="ListParagraph"/>
        <w:numPr>
          <w:ilvl w:val="0"/>
          <w:numId w:val="1"/>
        </w:numPr>
        <w:spacing w:after="60"/>
        <w:ind w:left="446"/>
        <w:rPr>
          <w:rFonts w:eastAsia="Calibri"/>
          <w:b/>
          <w:sz w:val="19"/>
          <w:szCs w:val="19"/>
          <w:lang w:val="en-GB"/>
        </w:rPr>
      </w:pPr>
      <w:r>
        <w:rPr>
          <w:rFonts w:eastAsia="Calibri"/>
          <w:sz w:val="19"/>
          <w:szCs w:val="19"/>
          <w:lang w:val="en-GB"/>
        </w:rPr>
        <w:t>Compared to 2020</w:t>
      </w:r>
      <w:r w:rsidR="00B843C4">
        <w:rPr>
          <w:rFonts w:eastAsia="Calibri"/>
          <w:sz w:val="19"/>
          <w:szCs w:val="19"/>
          <w:lang w:val="en-GB"/>
        </w:rPr>
        <w:t xml:space="preserve"> (2020 HRP and COVID response combined)</w:t>
      </w:r>
      <w:r>
        <w:rPr>
          <w:rFonts w:eastAsia="Calibri"/>
          <w:sz w:val="19"/>
          <w:szCs w:val="19"/>
          <w:lang w:val="en-GB"/>
        </w:rPr>
        <w:t xml:space="preserve">, the </w:t>
      </w:r>
      <w:proofErr w:type="spellStart"/>
      <w:r>
        <w:rPr>
          <w:rFonts w:eastAsia="Calibri"/>
          <w:sz w:val="19"/>
          <w:szCs w:val="19"/>
          <w:lang w:val="en-GB"/>
        </w:rPr>
        <w:t>WoS</w:t>
      </w:r>
      <w:proofErr w:type="spellEnd"/>
      <w:r>
        <w:rPr>
          <w:rFonts w:eastAsia="Calibri"/>
          <w:sz w:val="19"/>
          <w:szCs w:val="19"/>
          <w:lang w:val="en-GB"/>
        </w:rPr>
        <w:t xml:space="preserve"> Sectors </w:t>
      </w:r>
      <w:r w:rsidRPr="00CE7AF7">
        <w:rPr>
          <w:rFonts w:eastAsia="Calibri"/>
          <w:sz w:val="19"/>
          <w:szCs w:val="19"/>
          <w:lang w:val="en-GB"/>
        </w:rPr>
        <w:t xml:space="preserve">with the </w:t>
      </w:r>
      <w:r w:rsidRPr="004500C0">
        <w:rPr>
          <w:rFonts w:eastAsia="Calibri"/>
          <w:b/>
          <w:sz w:val="19"/>
          <w:szCs w:val="19"/>
          <w:lang w:val="en-GB"/>
        </w:rPr>
        <w:t>largest proportionate</w:t>
      </w:r>
    </w:p>
    <w:p w:rsidR="00CE7AF7" w:rsidP="00CE7AF7" w:rsidRDefault="00CE7AF7" w14:paraId="33E6B43D" w14:textId="192B89B0">
      <w:pPr>
        <w:pStyle w:val="ListParagraph"/>
        <w:numPr>
          <w:ilvl w:val="1"/>
          <w:numId w:val="1"/>
        </w:numPr>
        <w:spacing w:after="60"/>
        <w:rPr>
          <w:rFonts w:eastAsia="Calibri"/>
          <w:sz w:val="19"/>
          <w:szCs w:val="19"/>
          <w:lang w:val="en-GB"/>
        </w:rPr>
      </w:pPr>
      <w:r w:rsidRPr="004500C0">
        <w:rPr>
          <w:rFonts w:eastAsia="Calibri"/>
          <w:b/>
          <w:sz w:val="19"/>
          <w:szCs w:val="19"/>
          <w:lang w:val="en-GB"/>
        </w:rPr>
        <w:t>increases</w:t>
      </w:r>
      <w:r w:rsidRPr="00CE7AF7">
        <w:rPr>
          <w:rFonts w:eastAsia="Calibri"/>
          <w:sz w:val="19"/>
          <w:szCs w:val="19"/>
          <w:lang w:val="en-GB"/>
        </w:rPr>
        <w:t xml:space="preserve"> are: </w:t>
      </w:r>
      <w:r w:rsidRPr="004500C0">
        <w:rPr>
          <w:rFonts w:eastAsia="Calibri"/>
          <w:b/>
          <w:sz w:val="19"/>
          <w:szCs w:val="19"/>
          <w:lang w:val="en-GB"/>
        </w:rPr>
        <w:t>Nutrition</w:t>
      </w:r>
      <w:r>
        <w:rPr>
          <w:rFonts w:eastAsia="Calibri"/>
          <w:sz w:val="19"/>
          <w:szCs w:val="19"/>
          <w:lang w:val="en-GB"/>
        </w:rPr>
        <w:t xml:space="preserve"> (+105%), </w:t>
      </w:r>
      <w:r w:rsidRPr="004500C0">
        <w:rPr>
          <w:rFonts w:eastAsia="Calibri"/>
          <w:b/>
          <w:sz w:val="19"/>
          <w:szCs w:val="19"/>
          <w:lang w:val="en-GB"/>
        </w:rPr>
        <w:t xml:space="preserve">Mine Action </w:t>
      </w:r>
      <w:proofErr w:type="spellStart"/>
      <w:r w:rsidRPr="004500C0">
        <w:rPr>
          <w:rFonts w:eastAsia="Calibri"/>
          <w:b/>
          <w:sz w:val="19"/>
          <w:szCs w:val="19"/>
          <w:lang w:val="en-GB"/>
        </w:rPr>
        <w:t>AoR</w:t>
      </w:r>
      <w:proofErr w:type="spellEnd"/>
      <w:r>
        <w:rPr>
          <w:rFonts w:eastAsia="Calibri"/>
          <w:sz w:val="19"/>
          <w:szCs w:val="19"/>
          <w:lang w:val="en-GB"/>
        </w:rPr>
        <w:t xml:space="preserve"> (+47%) and </w:t>
      </w:r>
      <w:r w:rsidRPr="004500C0">
        <w:rPr>
          <w:rFonts w:eastAsia="Calibri"/>
          <w:b/>
          <w:sz w:val="19"/>
          <w:szCs w:val="19"/>
          <w:lang w:val="en-GB"/>
        </w:rPr>
        <w:t>Food Security</w:t>
      </w:r>
      <w:r>
        <w:rPr>
          <w:rFonts w:eastAsia="Calibri"/>
          <w:sz w:val="19"/>
          <w:szCs w:val="19"/>
          <w:lang w:val="en-GB"/>
        </w:rPr>
        <w:t xml:space="preserve"> (+41%)</w:t>
      </w:r>
    </w:p>
    <w:p w:rsidR="00CE7AF7" w:rsidP="00CE7AF7" w:rsidRDefault="00CE7AF7" w14:paraId="364DD3EB" w14:textId="715BE19C">
      <w:pPr>
        <w:pStyle w:val="ListParagraph"/>
        <w:numPr>
          <w:ilvl w:val="1"/>
          <w:numId w:val="1"/>
        </w:numPr>
        <w:spacing w:after="60"/>
        <w:rPr>
          <w:rFonts w:eastAsia="Calibri"/>
          <w:sz w:val="19"/>
          <w:szCs w:val="19"/>
          <w:lang w:val="en-GB"/>
        </w:rPr>
      </w:pPr>
      <w:r>
        <w:rPr>
          <w:rFonts w:eastAsia="Calibri"/>
          <w:sz w:val="19"/>
          <w:szCs w:val="19"/>
          <w:lang w:val="en-GB"/>
        </w:rPr>
        <w:t>decreases are: WASH (-23%), Coordination (-23%), CCCM (-22%) and S/NFI (</w:t>
      </w:r>
      <w:r w:rsidR="00B843C4">
        <w:rPr>
          <w:rFonts w:eastAsia="Calibri"/>
          <w:sz w:val="19"/>
          <w:szCs w:val="19"/>
          <w:lang w:val="en-GB"/>
        </w:rPr>
        <w:t>-</w:t>
      </w:r>
      <w:r>
        <w:rPr>
          <w:rFonts w:eastAsia="Calibri"/>
          <w:sz w:val="19"/>
          <w:szCs w:val="19"/>
          <w:lang w:val="en-GB"/>
        </w:rPr>
        <w:t xml:space="preserve">13%). </w:t>
      </w:r>
    </w:p>
    <w:p w:rsidRPr="00CE7AF7" w:rsidR="0094144D" w:rsidP="00B843C4" w:rsidRDefault="00CE7AF7" w14:paraId="3BF94F6F" w14:textId="6285A26F">
      <w:pPr>
        <w:pStyle w:val="ListParagraph"/>
        <w:numPr>
          <w:ilvl w:val="0"/>
          <w:numId w:val="1"/>
        </w:numPr>
        <w:spacing w:after="60"/>
        <w:ind w:left="446"/>
        <w:rPr>
          <w:rFonts w:eastAsia="Calibri"/>
          <w:sz w:val="19"/>
          <w:szCs w:val="19"/>
          <w:lang w:val="en-GB"/>
        </w:rPr>
      </w:pPr>
      <w:r>
        <w:rPr>
          <w:rFonts w:eastAsia="Calibri"/>
          <w:sz w:val="19"/>
          <w:szCs w:val="19"/>
          <w:lang w:val="en-GB"/>
        </w:rPr>
        <w:t xml:space="preserve">In absolute figures, the </w:t>
      </w:r>
      <w:r w:rsidRPr="004500C0">
        <w:rPr>
          <w:rFonts w:eastAsia="Calibri"/>
          <w:b/>
          <w:sz w:val="19"/>
          <w:szCs w:val="19"/>
          <w:lang w:val="en-GB"/>
        </w:rPr>
        <w:t xml:space="preserve">FSA Sector </w:t>
      </w:r>
      <w:r w:rsidRPr="004500C0" w:rsidR="00B843C4">
        <w:rPr>
          <w:rFonts w:eastAsia="Calibri"/>
          <w:b/>
          <w:sz w:val="19"/>
          <w:szCs w:val="19"/>
          <w:lang w:val="en-GB"/>
        </w:rPr>
        <w:t xml:space="preserve">proposes </w:t>
      </w:r>
      <w:r w:rsidRPr="004500C0">
        <w:rPr>
          <w:rFonts w:eastAsia="Calibri"/>
          <w:b/>
          <w:sz w:val="19"/>
          <w:szCs w:val="19"/>
          <w:lang w:val="en-GB"/>
        </w:rPr>
        <w:t xml:space="preserve">the </w:t>
      </w:r>
      <w:r w:rsidRPr="004500C0" w:rsidR="004500C0">
        <w:rPr>
          <w:rFonts w:eastAsia="Calibri"/>
          <w:b/>
          <w:bCs/>
          <w:sz w:val="19"/>
          <w:szCs w:val="19"/>
          <w:lang w:val="en-GB"/>
        </w:rPr>
        <w:t>highest</w:t>
      </w:r>
      <w:r w:rsidRPr="004500C0">
        <w:rPr>
          <w:rFonts w:eastAsia="Calibri"/>
          <w:b/>
          <w:bCs/>
          <w:sz w:val="19"/>
          <w:szCs w:val="19"/>
          <w:lang w:val="en-GB"/>
        </w:rPr>
        <w:t xml:space="preserve"> </w:t>
      </w:r>
      <w:r w:rsidRPr="004500C0" w:rsidR="004500C0">
        <w:rPr>
          <w:rFonts w:eastAsia="Calibri"/>
          <w:b/>
          <w:bCs/>
          <w:sz w:val="19"/>
          <w:szCs w:val="19"/>
          <w:lang w:val="en-GB"/>
        </w:rPr>
        <w:t>requirements</w:t>
      </w:r>
      <w:r w:rsidR="00CB17CB">
        <w:rPr>
          <w:rFonts w:eastAsia="Calibri"/>
          <w:sz w:val="19"/>
          <w:szCs w:val="19"/>
          <w:lang w:val="en-GB"/>
        </w:rPr>
        <w:t xml:space="preserve"> </w:t>
      </w:r>
      <w:r>
        <w:rPr>
          <w:rFonts w:eastAsia="Calibri"/>
          <w:sz w:val="19"/>
          <w:szCs w:val="19"/>
          <w:lang w:val="en-GB"/>
        </w:rPr>
        <w:t>(</w:t>
      </w:r>
      <w:r w:rsidR="00CB17CB">
        <w:rPr>
          <w:rFonts w:eastAsia="Calibri"/>
          <w:sz w:val="19"/>
          <w:szCs w:val="19"/>
          <w:lang w:val="en-GB"/>
        </w:rPr>
        <w:t xml:space="preserve">$1.63bn or 39% of HRP budget), followed by Health ($576m / 14%) and S/NFI ($522m / 12%). </w:t>
      </w:r>
    </w:p>
    <w:tbl>
      <w:tblPr>
        <w:tblW w:w="10075" w:type="dxa"/>
        <w:tblLook w:val="04A0" w:firstRow="1" w:lastRow="0" w:firstColumn="1" w:lastColumn="0" w:noHBand="0" w:noVBand="1"/>
      </w:tblPr>
      <w:tblGrid>
        <w:gridCol w:w="3505"/>
        <w:gridCol w:w="1710"/>
        <w:gridCol w:w="1530"/>
        <w:gridCol w:w="2070"/>
        <w:gridCol w:w="1260"/>
      </w:tblGrid>
      <w:tr w:rsidRPr="00F3237D" w:rsidR="000F4D28" w:rsidTr="00712068" w14:paraId="38DD228A" w14:textId="77777777">
        <w:trPr>
          <w:trHeight w:val="503"/>
        </w:trPr>
        <w:tc>
          <w:tcPr>
            <w:tcW w:w="3505" w:type="dxa"/>
            <w:tcBorders>
              <w:top w:val="single" w:color="4472C4" w:sz="4" w:space="0"/>
              <w:left w:val="single" w:color="4472C4" w:sz="4" w:space="0"/>
              <w:bottom w:val="single" w:color="4472C4" w:sz="4" w:space="0"/>
              <w:right w:val="single" w:color="4472C4" w:sz="4" w:space="0"/>
            </w:tcBorders>
            <w:shd w:val="clear" w:color="5B9BD5" w:fill="5B9BD5"/>
            <w:vAlign w:val="center"/>
            <w:hideMark/>
          </w:tcPr>
          <w:p w:rsidRPr="00F3237D" w:rsidR="00F3237D" w:rsidP="00F3237D" w:rsidRDefault="00F3237D" w14:paraId="0508E51D" w14:textId="77777777">
            <w:pPr>
              <w:spacing w:after="0" w:line="240" w:lineRule="auto"/>
              <w:rPr>
                <w:rFonts w:ascii="Calibri" w:hAnsi="Calibri" w:eastAsia="Times New Roman" w:cs="Calibri"/>
                <w:b/>
                <w:bCs/>
                <w:color w:val="FFFFFF"/>
                <w:sz w:val="18"/>
                <w:szCs w:val="18"/>
                <w:lang w:eastAsia="zh-CN"/>
              </w:rPr>
            </w:pPr>
            <w:r w:rsidRPr="00F3237D">
              <w:rPr>
                <w:rFonts w:ascii="Calibri" w:hAnsi="Calibri" w:eastAsia="Times New Roman" w:cs="Calibri"/>
                <w:b/>
                <w:bCs/>
                <w:color w:val="FFFFFF"/>
                <w:sz w:val="18"/>
                <w:szCs w:val="18"/>
                <w:lang w:eastAsia="zh-CN"/>
              </w:rPr>
              <w:t>Cluster/Sector</w:t>
            </w:r>
          </w:p>
        </w:tc>
        <w:tc>
          <w:tcPr>
            <w:tcW w:w="1710" w:type="dxa"/>
            <w:tcBorders>
              <w:top w:val="single" w:color="4472C4" w:sz="4" w:space="0"/>
              <w:left w:val="nil"/>
              <w:bottom w:val="single" w:color="4472C4" w:sz="4" w:space="0"/>
              <w:right w:val="single" w:color="4472C4" w:sz="4" w:space="0"/>
            </w:tcBorders>
            <w:shd w:val="clear" w:color="5B9BD5" w:fill="5B9BD5"/>
            <w:vAlign w:val="center"/>
            <w:hideMark/>
          </w:tcPr>
          <w:p w:rsidRPr="00F3237D" w:rsidR="00F3237D" w:rsidP="00712068" w:rsidRDefault="00F3237D" w14:paraId="414A3FEF" w14:textId="65FE4DF2">
            <w:pPr>
              <w:spacing w:after="0" w:line="240" w:lineRule="auto"/>
              <w:jc w:val="center"/>
              <w:rPr>
                <w:rFonts w:ascii="Calibri" w:hAnsi="Calibri" w:eastAsia="Times New Roman" w:cs="Calibri"/>
                <w:b/>
                <w:bCs/>
                <w:color w:val="FFFFFF"/>
                <w:sz w:val="18"/>
                <w:szCs w:val="18"/>
                <w:lang w:eastAsia="zh-CN"/>
              </w:rPr>
            </w:pPr>
            <w:r w:rsidRPr="00F3237D">
              <w:rPr>
                <w:rFonts w:ascii="Calibri" w:hAnsi="Calibri" w:eastAsia="Times New Roman" w:cs="Calibri"/>
                <w:b/>
                <w:bCs/>
                <w:color w:val="FFFFFF"/>
                <w:sz w:val="18"/>
                <w:szCs w:val="18"/>
                <w:lang w:eastAsia="zh-CN"/>
              </w:rPr>
              <w:t xml:space="preserve">2020 </w:t>
            </w:r>
            <w:proofErr w:type="spellStart"/>
            <w:r w:rsidRPr="00F3237D">
              <w:rPr>
                <w:rFonts w:ascii="Calibri" w:hAnsi="Calibri" w:eastAsia="Times New Roman" w:cs="Calibri"/>
                <w:b/>
                <w:bCs/>
                <w:color w:val="FFFFFF"/>
                <w:sz w:val="18"/>
                <w:szCs w:val="18"/>
                <w:lang w:eastAsia="zh-CN"/>
              </w:rPr>
              <w:t>equirements</w:t>
            </w:r>
            <w:proofErr w:type="spellEnd"/>
            <w:r w:rsidR="004625AA">
              <w:rPr>
                <w:rFonts w:ascii="Calibri" w:hAnsi="Calibri" w:eastAsia="Times New Roman" w:cs="Calibri"/>
                <w:b/>
                <w:bCs/>
                <w:color w:val="FFFFFF"/>
                <w:sz w:val="18"/>
                <w:szCs w:val="18"/>
                <w:lang w:eastAsia="zh-CN"/>
              </w:rPr>
              <w:t xml:space="preserve"> HRP +COVID</w:t>
            </w:r>
            <w:r w:rsidRPr="00F3237D">
              <w:rPr>
                <w:rFonts w:ascii="Calibri" w:hAnsi="Calibri" w:eastAsia="Times New Roman" w:cs="Calibri"/>
                <w:b/>
                <w:bCs/>
                <w:color w:val="FFFFFF"/>
                <w:sz w:val="18"/>
                <w:szCs w:val="18"/>
                <w:lang w:eastAsia="zh-CN"/>
              </w:rPr>
              <w:t xml:space="preserve"> </w:t>
            </w:r>
            <w:r w:rsidR="004625AA">
              <w:rPr>
                <w:rFonts w:ascii="Calibri" w:hAnsi="Calibri" w:eastAsia="Times New Roman" w:cs="Calibri"/>
                <w:b/>
                <w:bCs/>
                <w:color w:val="FFFFFF"/>
                <w:sz w:val="18"/>
                <w:szCs w:val="18"/>
                <w:lang w:eastAsia="zh-CN"/>
              </w:rPr>
              <w:t>(</w:t>
            </w:r>
            <w:r w:rsidRPr="00F3237D">
              <w:rPr>
                <w:rFonts w:ascii="Calibri" w:hAnsi="Calibri" w:eastAsia="Times New Roman" w:cs="Calibri"/>
                <w:b/>
                <w:bCs/>
                <w:color w:val="FFFFFF"/>
                <w:sz w:val="18"/>
                <w:szCs w:val="18"/>
                <w:lang w:eastAsia="zh-CN"/>
              </w:rPr>
              <w:t>US$</w:t>
            </w:r>
            <w:r w:rsidR="004625AA">
              <w:rPr>
                <w:rFonts w:ascii="Calibri" w:hAnsi="Calibri" w:eastAsia="Times New Roman" w:cs="Calibri"/>
                <w:b/>
                <w:bCs/>
                <w:color w:val="FFFFFF"/>
                <w:sz w:val="18"/>
                <w:szCs w:val="18"/>
                <w:lang w:eastAsia="zh-CN"/>
              </w:rPr>
              <w:t>)</w:t>
            </w:r>
          </w:p>
        </w:tc>
        <w:tc>
          <w:tcPr>
            <w:tcW w:w="1530" w:type="dxa"/>
            <w:tcBorders>
              <w:top w:val="single" w:color="4472C4" w:sz="4" w:space="0"/>
              <w:left w:val="nil"/>
              <w:bottom w:val="single" w:color="4472C4" w:sz="4" w:space="0"/>
              <w:right w:val="single" w:color="4472C4" w:sz="4" w:space="0"/>
            </w:tcBorders>
            <w:shd w:val="clear" w:color="5B9BD5" w:fill="5B9BD5"/>
            <w:vAlign w:val="center"/>
            <w:hideMark/>
          </w:tcPr>
          <w:p w:rsidRPr="00F3237D" w:rsidR="00F3237D" w:rsidP="00712068" w:rsidRDefault="00F3237D" w14:paraId="588388B8" w14:textId="153764F9">
            <w:pPr>
              <w:spacing w:after="0" w:line="240" w:lineRule="auto"/>
              <w:ind w:left="-193"/>
              <w:jc w:val="center"/>
              <w:rPr>
                <w:rFonts w:ascii="Calibri" w:hAnsi="Calibri" w:eastAsia="Times New Roman" w:cs="Calibri"/>
                <w:b/>
                <w:bCs/>
                <w:color w:val="FFFFFF"/>
                <w:sz w:val="18"/>
                <w:szCs w:val="18"/>
                <w:lang w:eastAsia="zh-CN"/>
              </w:rPr>
            </w:pPr>
            <w:r w:rsidRPr="00F3237D">
              <w:rPr>
                <w:rFonts w:ascii="Calibri" w:hAnsi="Calibri" w:eastAsia="Times New Roman" w:cs="Calibri"/>
                <w:b/>
                <w:bCs/>
                <w:color w:val="FFFFFF"/>
                <w:sz w:val="18"/>
                <w:szCs w:val="18"/>
                <w:lang w:eastAsia="zh-CN"/>
              </w:rPr>
              <w:t>2020 Funding Coverage</w:t>
            </w:r>
          </w:p>
        </w:tc>
        <w:tc>
          <w:tcPr>
            <w:tcW w:w="2070" w:type="dxa"/>
            <w:tcBorders>
              <w:top w:val="single" w:color="4472C4" w:sz="4" w:space="0"/>
              <w:left w:val="nil"/>
              <w:bottom w:val="single" w:color="4472C4" w:sz="4" w:space="0"/>
              <w:right w:val="single" w:color="4472C4" w:sz="4" w:space="0"/>
            </w:tcBorders>
            <w:shd w:val="clear" w:color="5B9BD5" w:fill="ED7D31"/>
            <w:vAlign w:val="center"/>
            <w:hideMark/>
          </w:tcPr>
          <w:p w:rsidRPr="00F3237D" w:rsidR="00F3237D" w:rsidP="00712068" w:rsidRDefault="00F3237D" w14:paraId="4920CCF7" w14:textId="77777777">
            <w:pPr>
              <w:spacing w:after="0" w:line="240" w:lineRule="auto"/>
              <w:jc w:val="center"/>
              <w:rPr>
                <w:rFonts w:ascii="Calibri" w:hAnsi="Calibri" w:eastAsia="Times New Roman" w:cs="Calibri"/>
                <w:b/>
                <w:bCs/>
                <w:color w:val="FFFFFF"/>
                <w:sz w:val="18"/>
                <w:szCs w:val="18"/>
                <w:lang w:eastAsia="zh-CN"/>
              </w:rPr>
            </w:pPr>
            <w:r w:rsidRPr="00F3237D">
              <w:rPr>
                <w:rFonts w:ascii="Calibri" w:hAnsi="Calibri" w:eastAsia="Times New Roman" w:cs="Calibri"/>
                <w:b/>
                <w:bCs/>
                <w:color w:val="FFFFFF"/>
                <w:sz w:val="18"/>
                <w:szCs w:val="18"/>
                <w:lang w:eastAsia="zh-CN"/>
              </w:rPr>
              <w:t>2021 Sector Approved Requirements (US$)</w:t>
            </w:r>
          </w:p>
        </w:tc>
        <w:tc>
          <w:tcPr>
            <w:tcW w:w="1260" w:type="dxa"/>
            <w:tcBorders>
              <w:top w:val="single" w:color="4472C4" w:sz="4" w:space="0"/>
              <w:left w:val="nil"/>
              <w:bottom w:val="single" w:color="4472C4" w:sz="4" w:space="0"/>
              <w:right w:val="single" w:color="4472C4" w:sz="4" w:space="0"/>
            </w:tcBorders>
            <w:shd w:val="clear" w:color="5B9BD5" w:fill="ED7D31"/>
            <w:vAlign w:val="center"/>
            <w:hideMark/>
          </w:tcPr>
          <w:p w:rsidRPr="00F3237D" w:rsidR="00F3237D" w:rsidP="00712068" w:rsidRDefault="00F3237D" w14:paraId="0A63FC92" w14:textId="41E08703">
            <w:pPr>
              <w:spacing w:after="0" w:line="240" w:lineRule="auto"/>
              <w:jc w:val="center"/>
              <w:rPr>
                <w:rFonts w:ascii="Calibri" w:hAnsi="Calibri" w:eastAsia="Times New Roman" w:cs="Calibri"/>
                <w:b/>
                <w:bCs/>
                <w:color w:val="FFFFFF"/>
                <w:sz w:val="18"/>
                <w:szCs w:val="18"/>
                <w:lang w:eastAsia="zh-CN"/>
              </w:rPr>
            </w:pPr>
            <w:r w:rsidRPr="00F3237D">
              <w:rPr>
                <w:rFonts w:ascii="Calibri" w:hAnsi="Calibri" w:eastAsia="Times New Roman" w:cs="Calibri"/>
                <w:b/>
                <w:bCs/>
                <w:color w:val="FFFFFF"/>
                <w:sz w:val="18"/>
                <w:szCs w:val="18"/>
                <w:lang w:eastAsia="zh-CN"/>
              </w:rPr>
              <w:t>% variation to 2020</w:t>
            </w:r>
          </w:p>
        </w:tc>
      </w:tr>
      <w:tr w:rsidRPr="00F3237D" w:rsidR="00F3237D" w:rsidTr="00712068" w14:paraId="739AB94E"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1682D623"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Camp Coordination and Camp Management</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345DB390" w14:textId="4D87A782">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33,064,325</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09BE73A8"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12%</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6A67AD6D" w14:textId="63A3620A">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25,753,150</w:t>
            </w:r>
          </w:p>
        </w:tc>
        <w:tc>
          <w:tcPr>
            <w:tcW w:w="1260" w:type="dxa"/>
            <w:tcBorders>
              <w:top w:val="single" w:color="4472C4" w:sz="4" w:space="0"/>
              <w:left w:val="single" w:color="4472C4" w:sz="4" w:space="0"/>
              <w:bottom w:val="single" w:color="4472C4" w:sz="4" w:space="0"/>
              <w:right w:val="single" w:color="4472C4" w:sz="4" w:space="0"/>
            </w:tcBorders>
            <w:shd w:val="clear" w:color="000000" w:fill="E2EFDA"/>
            <w:noWrap/>
            <w:vAlign w:val="bottom"/>
            <w:hideMark/>
          </w:tcPr>
          <w:p w:rsidRPr="00F3237D" w:rsidR="00F3237D" w:rsidP="00F3237D" w:rsidRDefault="00F3237D" w14:paraId="26750DAF"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-22%</w:t>
            </w:r>
          </w:p>
        </w:tc>
      </w:tr>
      <w:tr w:rsidRPr="00F3237D" w:rsidR="00F3237D" w:rsidTr="00712068" w14:paraId="540E8E94"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11C3D129"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Coordination</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203BD40F" w14:textId="0E4EDF88">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52,547,743</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324305D6"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22%</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5043BA08" w14:textId="3622B1A1">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40,323,676</w:t>
            </w:r>
          </w:p>
        </w:tc>
        <w:tc>
          <w:tcPr>
            <w:tcW w:w="1260" w:type="dxa"/>
            <w:tcBorders>
              <w:top w:val="single" w:color="4472C4" w:sz="4" w:space="0"/>
              <w:left w:val="single" w:color="4472C4" w:sz="4" w:space="0"/>
              <w:bottom w:val="single" w:color="4472C4" w:sz="4" w:space="0"/>
              <w:right w:val="single" w:color="4472C4" w:sz="4" w:space="0"/>
            </w:tcBorders>
            <w:shd w:val="clear" w:color="000000" w:fill="E2EFDA"/>
            <w:noWrap/>
            <w:vAlign w:val="bottom"/>
            <w:hideMark/>
          </w:tcPr>
          <w:p w:rsidRPr="00F3237D" w:rsidR="00F3237D" w:rsidP="00F3237D" w:rsidRDefault="00F3237D" w14:paraId="5144B632"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-23%</w:t>
            </w:r>
          </w:p>
        </w:tc>
      </w:tr>
      <w:tr w:rsidRPr="00F3237D" w:rsidR="00F3237D" w:rsidTr="00712068" w14:paraId="6E389101"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4D80AB9E"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Early Recovery and Livelihoods</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5C449CCC" w14:textId="1FB9BF46">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195,140,117</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4F401420"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14%</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6850FD8B" w14:textId="711CEB5D">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233,314,391</w:t>
            </w:r>
          </w:p>
        </w:tc>
        <w:tc>
          <w:tcPr>
            <w:tcW w:w="1260" w:type="dxa"/>
            <w:tcBorders>
              <w:top w:val="single" w:color="4472C4" w:sz="4" w:space="0"/>
              <w:left w:val="single" w:color="4472C4" w:sz="4" w:space="0"/>
              <w:bottom w:val="single" w:color="4472C4" w:sz="4" w:space="0"/>
              <w:right w:val="single" w:color="4472C4" w:sz="4" w:space="0"/>
            </w:tcBorders>
            <w:shd w:val="clear" w:color="000000" w:fill="FFF2CC"/>
            <w:noWrap/>
            <w:vAlign w:val="bottom"/>
            <w:hideMark/>
          </w:tcPr>
          <w:p w:rsidRPr="00F3237D" w:rsidR="00F3237D" w:rsidP="00F3237D" w:rsidRDefault="00F3237D" w14:paraId="061BA93F"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20%</w:t>
            </w:r>
          </w:p>
        </w:tc>
      </w:tr>
      <w:tr w:rsidRPr="00F3237D" w:rsidR="00F3237D" w:rsidTr="00712068" w14:paraId="62899215"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0B1FB945"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Education</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5B1340BD" w14:textId="6E16FAC8">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291,867,312</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0CA7871A"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35%</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11F6AE44" w14:textId="435F17E6">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298,996,858</w:t>
            </w:r>
          </w:p>
        </w:tc>
        <w:tc>
          <w:tcPr>
            <w:tcW w:w="1260" w:type="dxa"/>
            <w:tcBorders>
              <w:top w:val="single" w:color="4472C4" w:sz="4" w:space="0"/>
              <w:left w:val="single" w:color="4472C4" w:sz="4" w:space="0"/>
              <w:bottom w:val="single" w:color="4472C4" w:sz="4" w:space="0"/>
              <w:right w:val="single" w:color="4472C4" w:sz="4" w:space="0"/>
            </w:tcBorders>
            <w:shd w:val="clear" w:color="000000" w:fill="E2EFDA"/>
            <w:noWrap/>
            <w:vAlign w:val="bottom"/>
            <w:hideMark/>
          </w:tcPr>
          <w:p w:rsidRPr="00F3237D" w:rsidR="00F3237D" w:rsidP="00F3237D" w:rsidRDefault="00F3237D" w14:paraId="3F88148F"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2%</w:t>
            </w:r>
          </w:p>
        </w:tc>
      </w:tr>
      <w:tr w:rsidRPr="00F3237D" w:rsidR="00F3237D" w:rsidTr="00712068" w14:paraId="0799BBD2"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52B60B31"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Emergency Telecommunications</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2CD82F4B" w14:textId="436F6D72">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925,000</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7C9B1793"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54%</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64E45F9B" w14:textId="6E40C479">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429,405</w:t>
            </w:r>
          </w:p>
        </w:tc>
        <w:tc>
          <w:tcPr>
            <w:tcW w:w="1260" w:type="dxa"/>
            <w:tcBorders>
              <w:top w:val="single" w:color="4472C4" w:sz="4" w:space="0"/>
              <w:left w:val="single" w:color="4472C4" w:sz="4" w:space="0"/>
              <w:bottom w:val="single" w:color="4472C4" w:sz="4" w:space="0"/>
              <w:right w:val="single" w:color="4472C4" w:sz="4" w:space="0"/>
            </w:tcBorders>
            <w:shd w:val="clear" w:color="000000" w:fill="E2EFDA"/>
            <w:noWrap/>
            <w:vAlign w:val="bottom"/>
            <w:hideMark/>
          </w:tcPr>
          <w:p w:rsidRPr="00F3237D" w:rsidR="00F3237D" w:rsidP="00F3237D" w:rsidRDefault="00F3237D" w14:paraId="2834AB3B"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-54%</w:t>
            </w:r>
          </w:p>
        </w:tc>
      </w:tr>
      <w:tr w:rsidRPr="00F3237D" w:rsidR="00F3237D" w:rsidTr="00712068" w14:paraId="1E4E54EB"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2FC72269"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Food Security</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057FD5B0" w14:textId="31ABB843">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1,158,288,106</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1435759D"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56%</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61EDD61C" w14:textId="67ED969D">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1,630,441,235</w:t>
            </w:r>
          </w:p>
        </w:tc>
        <w:tc>
          <w:tcPr>
            <w:tcW w:w="1260" w:type="dxa"/>
            <w:tcBorders>
              <w:top w:val="single" w:color="4472C4" w:sz="4" w:space="0"/>
              <w:left w:val="single" w:color="4472C4" w:sz="4" w:space="0"/>
              <w:bottom w:val="single" w:color="4472C4" w:sz="4" w:space="0"/>
              <w:right w:val="single" w:color="4472C4" w:sz="4" w:space="0"/>
            </w:tcBorders>
            <w:shd w:val="clear" w:color="000000" w:fill="FCE4D6"/>
            <w:noWrap/>
            <w:vAlign w:val="bottom"/>
            <w:hideMark/>
          </w:tcPr>
          <w:p w:rsidRPr="00F3237D" w:rsidR="00F3237D" w:rsidP="00F3237D" w:rsidRDefault="00F3237D" w14:paraId="7C3BD459"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41%</w:t>
            </w:r>
          </w:p>
        </w:tc>
      </w:tr>
      <w:tr w:rsidRPr="00F3237D" w:rsidR="00F3237D" w:rsidTr="00712068" w14:paraId="7121E40A"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3E1C7524"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Health</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64C6C1A3" w14:textId="4A275AF3">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601,153,656</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37FF8912"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35%</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613A3EDE" w14:textId="3A01BC14">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575,997,577</w:t>
            </w:r>
          </w:p>
        </w:tc>
        <w:tc>
          <w:tcPr>
            <w:tcW w:w="1260" w:type="dxa"/>
            <w:tcBorders>
              <w:top w:val="single" w:color="4472C4" w:sz="4" w:space="0"/>
              <w:left w:val="single" w:color="4472C4" w:sz="4" w:space="0"/>
              <w:bottom w:val="single" w:color="4472C4" w:sz="4" w:space="0"/>
              <w:right w:val="single" w:color="4472C4" w:sz="4" w:space="0"/>
            </w:tcBorders>
            <w:shd w:val="clear" w:color="000000" w:fill="E2EFDA"/>
            <w:noWrap/>
            <w:vAlign w:val="bottom"/>
            <w:hideMark/>
          </w:tcPr>
          <w:p w:rsidRPr="00F3237D" w:rsidR="00F3237D" w:rsidP="00F3237D" w:rsidRDefault="00F3237D" w14:paraId="128AC7DB"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-4%</w:t>
            </w:r>
          </w:p>
        </w:tc>
      </w:tr>
      <w:tr w:rsidRPr="00F3237D" w:rsidR="00F3237D" w:rsidTr="00712068" w14:paraId="5719E9BC"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3C363869"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Logistics</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071EF9D3" w14:textId="5F0C472E">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12,131,375</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4A62D9C9"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81%</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4D49CE75" w14:textId="0C7C1646">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13,598,324</w:t>
            </w:r>
          </w:p>
        </w:tc>
        <w:tc>
          <w:tcPr>
            <w:tcW w:w="1260" w:type="dxa"/>
            <w:tcBorders>
              <w:top w:val="single" w:color="4472C4" w:sz="4" w:space="0"/>
              <w:left w:val="single" w:color="4472C4" w:sz="4" w:space="0"/>
              <w:bottom w:val="single" w:color="4472C4" w:sz="4" w:space="0"/>
              <w:right w:val="single" w:color="4472C4" w:sz="4" w:space="0"/>
            </w:tcBorders>
            <w:shd w:val="clear" w:color="000000" w:fill="FFF2CC"/>
            <w:noWrap/>
            <w:vAlign w:val="bottom"/>
            <w:hideMark/>
          </w:tcPr>
          <w:p w:rsidRPr="00F3237D" w:rsidR="00F3237D" w:rsidP="00F3237D" w:rsidRDefault="00F3237D" w14:paraId="23824190"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12%</w:t>
            </w:r>
          </w:p>
        </w:tc>
      </w:tr>
      <w:tr w:rsidRPr="00F3237D" w:rsidR="00F3237D" w:rsidTr="00712068" w14:paraId="478A0A2B"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1828A286"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Nutrition</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69EF9E42" w14:textId="37C347D1">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90,152,974</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289730EE"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36%</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4B3CE3F7" w14:textId="72C06C9E">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184,430,268</w:t>
            </w:r>
          </w:p>
        </w:tc>
        <w:tc>
          <w:tcPr>
            <w:tcW w:w="1260" w:type="dxa"/>
            <w:tcBorders>
              <w:top w:val="single" w:color="4472C4" w:sz="4" w:space="0"/>
              <w:left w:val="single" w:color="4472C4" w:sz="4" w:space="0"/>
              <w:bottom w:val="single" w:color="4472C4" w:sz="4" w:space="0"/>
              <w:right w:val="single" w:color="4472C4" w:sz="4" w:space="0"/>
            </w:tcBorders>
            <w:shd w:val="clear" w:color="000000" w:fill="FF9999"/>
            <w:noWrap/>
            <w:vAlign w:val="bottom"/>
            <w:hideMark/>
          </w:tcPr>
          <w:p w:rsidRPr="00F3237D" w:rsidR="00F3237D" w:rsidP="00F3237D" w:rsidRDefault="00F3237D" w14:paraId="7A025BD6"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105%</w:t>
            </w:r>
          </w:p>
        </w:tc>
      </w:tr>
      <w:tr w:rsidRPr="00F3237D" w:rsidR="00F3237D" w:rsidTr="00712068" w14:paraId="7890F3D4"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15B4DCFB"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 xml:space="preserve">Protection and </w:t>
            </w:r>
            <w:proofErr w:type="spellStart"/>
            <w:r w:rsidRPr="00F3237D">
              <w:rPr>
                <w:rFonts w:ascii="Calibri" w:hAnsi="Calibri" w:eastAsia="Times New Roman" w:cs="Calibri"/>
                <w:color w:val="000000"/>
                <w:sz w:val="18"/>
                <w:szCs w:val="18"/>
                <w:lang w:eastAsia="zh-CN"/>
              </w:rPr>
              <w:t>AoRs</w:t>
            </w:r>
            <w:proofErr w:type="spellEnd"/>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568E35FD" w14:textId="24351EDE">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389,811,385</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28BA1C94"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25%</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06E7224D" w14:textId="59C4A5DE">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403,677,174</w:t>
            </w:r>
          </w:p>
        </w:tc>
        <w:tc>
          <w:tcPr>
            <w:tcW w:w="1260" w:type="dxa"/>
            <w:tcBorders>
              <w:top w:val="single" w:color="4472C4" w:sz="4" w:space="0"/>
              <w:left w:val="single" w:color="4472C4" w:sz="4" w:space="0"/>
              <w:bottom w:val="single" w:color="4472C4" w:sz="4" w:space="0"/>
              <w:right w:val="single" w:color="4472C4" w:sz="4" w:space="0"/>
            </w:tcBorders>
            <w:shd w:val="clear" w:color="000000" w:fill="E2EFDA"/>
            <w:noWrap/>
            <w:vAlign w:val="bottom"/>
            <w:hideMark/>
          </w:tcPr>
          <w:p w:rsidRPr="00F3237D" w:rsidR="00F3237D" w:rsidP="00F3237D" w:rsidRDefault="00F3237D" w14:paraId="6C1B90DA"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4%</w:t>
            </w:r>
          </w:p>
        </w:tc>
      </w:tr>
      <w:tr w:rsidRPr="00F3237D" w:rsidR="00F3237D" w:rsidTr="00712068" w14:paraId="2DC669FF"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6BE6F6F0" w14:textId="77777777">
            <w:pPr>
              <w:spacing w:after="0" w:line="240" w:lineRule="auto"/>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 xml:space="preserve">   Protection</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169C36D2" w14:textId="1754628B">
            <w:pPr>
              <w:spacing w:after="0" w:line="240" w:lineRule="auto"/>
              <w:jc w:val="right"/>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197,102,764</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01EFE3D8" w14:textId="77777777">
            <w:pPr>
              <w:spacing w:after="0" w:line="240" w:lineRule="auto"/>
              <w:jc w:val="right"/>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37%</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6B0488DE" w14:textId="2C303D31">
            <w:pPr>
              <w:spacing w:after="0" w:line="240" w:lineRule="auto"/>
              <w:jc w:val="right"/>
              <w:rPr>
                <w:rFonts w:ascii="Calibri" w:hAnsi="Calibri" w:eastAsia="Times New Roman" w:cs="Calibri"/>
                <w:b/>
                <w:i/>
                <w:color w:val="404040"/>
                <w:sz w:val="18"/>
                <w:szCs w:val="18"/>
                <w:lang w:eastAsia="zh-CN"/>
              </w:rPr>
            </w:pPr>
            <w:r w:rsidRPr="00AD5BDE">
              <w:rPr>
                <w:rFonts w:ascii="Calibri" w:hAnsi="Calibri" w:eastAsia="Times New Roman" w:cs="Calibri"/>
                <w:b/>
                <w:i/>
                <w:color w:val="404040"/>
                <w:sz w:val="18"/>
                <w:szCs w:val="18"/>
                <w:lang w:eastAsia="zh-CN"/>
              </w:rPr>
              <w:t>175,073,628</w:t>
            </w:r>
          </w:p>
        </w:tc>
        <w:tc>
          <w:tcPr>
            <w:tcW w:w="1260" w:type="dxa"/>
            <w:tcBorders>
              <w:top w:val="single" w:color="4472C4" w:sz="4" w:space="0"/>
              <w:left w:val="single" w:color="4472C4" w:sz="4" w:space="0"/>
              <w:bottom w:val="single" w:color="4472C4" w:sz="4" w:space="0"/>
              <w:right w:val="single" w:color="4472C4" w:sz="4" w:space="0"/>
            </w:tcBorders>
            <w:shd w:val="clear" w:color="000000" w:fill="E2EFDA"/>
            <w:noWrap/>
            <w:vAlign w:val="bottom"/>
            <w:hideMark/>
          </w:tcPr>
          <w:p w:rsidRPr="00F3237D" w:rsidR="00F3237D" w:rsidP="00F3237D" w:rsidRDefault="00F3237D" w14:paraId="28039DB8"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-11%</w:t>
            </w:r>
          </w:p>
        </w:tc>
      </w:tr>
      <w:tr w:rsidRPr="00F3237D" w:rsidR="00F3237D" w:rsidTr="00712068" w14:paraId="7B1B7E1C"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2FDD206C" w14:textId="77777777">
            <w:pPr>
              <w:spacing w:after="0" w:line="240" w:lineRule="auto"/>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 xml:space="preserve">   Protection: Child Protection AOR</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51319F55" w14:textId="3F152081">
            <w:pPr>
              <w:spacing w:after="0" w:line="240" w:lineRule="auto"/>
              <w:jc w:val="right"/>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75,749,916</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77BA6062" w14:textId="77777777">
            <w:pPr>
              <w:spacing w:after="0" w:line="240" w:lineRule="auto"/>
              <w:jc w:val="right"/>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11%</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44108E01" w14:textId="3E5B301F">
            <w:pPr>
              <w:spacing w:after="0" w:line="240" w:lineRule="auto"/>
              <w:jc w:val="right"/>
              <w:rPr>
                <w:rFonts w:ascii="Calibri" w:hAnsi="Calibri" w:eastAsia="Times New Roman" w:cs="Calibri"/>
                <w:b/>
                <w:i/>
                <w:color w:val="404040"/>
                <w:sz w:val="18"/>
                <w:szCs w:val="18"/>
                <w:lang w:eastAsia="zh-CN"/>
              </w:rPr>
            </w:pPr>
            <w:r w:rsidRPr="00AD5BDE">
              <w:rPr>
                <w:rFonts w:ascii="Calibri" w:hAnsi="Calibri" w:eastAsia="Times New Roman" w:cs="Calibri"/>
                <w:b/>
                <w:i/>
                <w:color w:val="404040"/>
                <w:sz w:val="18"/>
                <w:szCs w:val="18"/>
                <w:lang w:eastAsia="zh-CN"/>
              </w:rPr>
              <w:t>72,298,901</w:t>
            </w:r>
          </w:p>
        </w:tc>
        <w:tc>
          <w:tcPr>
            <w:tcW w:w="1260" w:type="dxa"/>
            <w:tcBorders>
              <w:top w:val="single" w:color="4472C4" w:sz="4" w:space="0"/>
              <w:left w:val="single" w:color="4472C4" w:sz="4" w:space="0"/>
              <w:bottom w:val="single" w:color="4472C4" w:sz="4" w:space="0"/>
              <w:right w:val="single" w:color="4472C4" w:sz="4" w:space="0"/>
            </w:tcBorders>
            <w:shd w:val="clear" w:color="000000" w:fill="E2EFDA"/>
            <w:noWrap/>
            <w:vAlign w:val="bottom"/>
            <w:hideMark/>
          </w:tcPr>
          <w:p w:rsidRPr="00F3237D" w:rsidR="00F3237D" w:rsidP="00F3237D" w:rsidRDefault="00F3237D" w14:paraId="4A24A6B0"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-5%</w:t>
            </w:r>
          </w:p>
        </w:tc>
      </w:tr>
      <w:tr w:rsidRPr="00F3237D" w:rsidR="00F3237D" w:rsidTr="00712068" w14:paraId="2F63FE20"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68C1DFA5" w14:textId="77777777">
            <w:pPr>
              <w:spacing w:after="0" w:line="240" w:lineRule="auto"/>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 xml:space="preserve">   Protection: Gender-Based Violence AOR</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70ADB74C" w14:textId="20D2EFAE">
            <w:pPr>
              <w:spacing w:after="0" w:line="240" w:lineRule="auto"/>
              <w:jc w:val="right"/>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64,395,305</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535DD033" w14:textId="77777777">
            <w:pPr>
              <w:spacing w:after="0" w:line="240" w:lineRule="auto"/>
              <w:jc w:val="right"/>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8%</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51091C74" w14:textId="0E2FBE64">
            <w:pPr>
              <w:spacing w:after="0" w:line="240" w:lineRule="auto"/>
              <w:jc w:val="right"/>
              <w:rPr>
                <w:rFonts w:ascii="Calibri" w:hAnsi="Calibri" w:eastAsia="Times New Roman" w:cs="Calibri"/>
                <w:b/>
                <w:i/>
                <w:color w:val="404040"/>
                <w:sz w:val="18"/>
                <w:szCs w:val="18"/>
                <w:lang w:eastAsia="zh-CN"/>
              </w:rPr>
            </w:pPr>
            <w:r w:rsidRPr="00AD5BDE">
              <w:rPr>
                <w:rFonts w:ascii="Calibri" w:hAnsi="Calibri" w:eastAsia="Times New Roman" w:cs="Calibri"/>
                <w:b/>
                <w:i/>
                <w:color w:val="404040"/>
                <w:sz w:val="18"/>
                <w:szCs w:val="18"/>
                <w:lang w:eastAsia="zh-CN"/>
              </w:rPr>
              <w:t>79,190,752</w:t>
            </w:r>
          </w:p>
        </w:tc>
        <w:tc>
          <w:tcPr>
            <w:tcW w:w="1260" w:type="dxa"/>
            <w:tcBorders>
              <w:top w:val="single" w:color="4472C4" w:sz="4" w:space="0"/>
              <w:left w:val="single" w:color="4472C4" w:sz="4" w:space="0"/>
              <w:bottom w:val="single" w:color="4472C4" w:sz="4" w:space="0"/>
              <w:right w:val="single" w:color="4472C4" w:sz="4" w:space="0"/>
            </w:tcBorders>
            <w:shd w:val="clear" w:color="000000" w:fill="FCE4D6"/>
            <w:noWrap/>
            <w:vAlign w:val="bottom"/>
            <w:hideMark/>
          </w:tcPr>
          <w:p w:rsidRPr="00F3237D" w:rsidR="00F3237D" w:rsidP="00F3237D" w:rsidRDefault="00F3237D" w14:paraId="65956581"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23%</w:t>
            </w:r>
          </w:p>
        </w:tc>
      </w:tr>
      <w:tr w:rsidRPr="00F3237D" w:rsidR="00F3237D" w:rsidTr="00712068" w14:paraId="4DC2DF88"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2A18D98F" w14:textId="77777777">
            <w:pPr>
              <w:spacing w:after="0" w:line="240" w:lineRule="auto"/>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 xml:space="preserve">   Protection: Mine Action AOR</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165F04D0" w14:textId="384C2B19">
            <w:pPr>
              <w:spacing w:after="0" w:line="240" w:lineRule="auto"/>
              <w:jc w:val="right"/>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52,563,400</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56486C70" w14:textId="77777777">
            <w:pPr>
              <w:spacing w:after="0" w:line="240" w:lineRule="auto"/>
              <w:jc w:val="right"/>
              <w:rPr>
                <w:rFonts w:ascii="Calibri" w:hAnsi="Calibri" w:eastAsia="Times New Roman" w:cs="Calibri"/>
                <w:i/>
                <w:iCs/>
                <w:color w:val="404040"/>
                <w:sz w:val="18"/>
                <w:szCs w:val="18"/>
                <w:lang w:eastAsia="zh-CN"/>
              </w:rPr>
            </w:pPr>
            <w:r w:rsidRPr="00F3237D">
              <w:rPr>
                <w:rFonts w:ascii="Calibri" w:hAnsi="Calibri" w:eastAsia="Times New Roman" w:cs="Calibri"/>
                <w:i/>
                <w:iCs/>
                <w:color w:val="404040"/>
                <w:sz w:val="18"/>
                <w:szCs w:val="18"/>
                <w:lang w:eastAsia="zh-CN"/>
              </w:rPr>
              <w:t>17%</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3374EC77" w14:textId="6BCFC4D8">
            <w:pPr>
              <w:spacing w:after="0" w:line="240" w:lineRule="auto"/>
              <w:jc w:val="right"/>
              <w:rPr>
                <w:rFonts w:ascii="Calibri" w:hAnsi="Calibri" w:eastAsia="Times New Roman" w:cs="Calibri"/>
                <w:b/>
                <w:i/>
                <w:color w:val="404040"/>
                <w:sz w:val="18"/>
                <w:szCs w:val="18"/>
                <w:lang w:eastAsia="zh-CN"/>
              </w:rPr>
            </w:pPr>
            <w:r w:rsidRPr="00AD5BDE">
              <w:rPr>
                <w:rFonts w:ascii="Calibri" w:hAnsi="Calibri" w:eastAsia="Times New Roman" w:cs="Calibri"/>
                <w:b/>
                <w:i/>
                <w:color w:val="404040"/>
                <w:sz w:val="18"/>
                <w:szCs w:val="18"/>
                <w:lang w:eastAsia="zh-CN"/>
              </w:rPr>
              <w:t>77,113,893</w:t>
            </w:r>
          </w:p>
        </w:tc>
        <w:tc>
          <w:tcPr>
            <w:tcW w:w="1260" w:type="dxa"/>
            <w:tcBorders>
              <w:top w:val="single" w:color="4472C4" w:sz="4" w:space="0"/>
              <w:left w:val="single" w:color="4472C4" w:sz="4" w:space="0"/>
              <w:bottom w:val="single" w:color="4472C4" w:sz="4" w:space="0"/>
              <w:right w:val="single" w:color="4472C4" w:sz="4" w:space="0"/>
            </w:tcBorders>
            <w:shd w:val="clear" w:color="000000" w:fill="FCE4D6"/>
            <w:noWrap/>
            <w:vAlign w:val="bottom"/>
            <w:hideMark/>
          </w:tcPr>
          <w:p w:rsidRPr="00F3237D" w:rsidR="00F3237D" w:rsidP="00F3237D" w:rsidRDefault="00F3237D" w14:paraId="27A05AA9"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47%</w:t>
            </w:r>
          </w:p>
        </w:tc>
      </w:tr>
      <w:tr w:rsidRPr="00F3237D" w:rsidR="00F3237D" w:rsidTr="00712068" w14:paraId="4FBD7598"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480651F4"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Shelter / NFI</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3582C68C" w14:textId="78CA2BED">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603,065,033</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7507B895"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13%</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44411029" w14:textId="5AFC479D">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521,936,767</w:t>
            </w:r>
          </w:p>
        </w:tc>
        <w:tc>
          <w:tcPr>
            <w:tcW w:w="1260" w:type="dxa"/>
            <w:tcBorders>
              <w:top w:val="single" w:color="4472C4" w:sz="4" w:space="0"/>
              <w:left w:val="single" w:color="4472C4" w:sz="4" w:space="0"/>
              <w:bottom w:val="single" w:color="4472C4" w:sz="4" w:space="0"/>
              <w:right w:val="single" w:color="4472C4" w:sz="4" w:space="0"/>
            </w:tcBorders>
            <w:shd w:val="clear" w:color="000000" w:fill="E2EFDA"/>
            <w:noWrap/>
            <w:vAlign w:val="bottom"/>
            <w:hideMark/>
          </w:tcPr>
          <w:p w:rsidRPr="00F3237D" w:rsidR="00F3237D" w:rsidP="00F3237D" w:rsidRDefault="00F3237D" w14:paraId="0F15BB41"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-13%</w:t>
            </w:r>
          </w:p>
        </w:tc>
      </w:tr>
      <w:tr w:rsidRPr="00F3237D" w:rsidR="00F3237D" w:rsidTr="00712068" w14:paraId="0F9A86D3"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F3237D" w:rsidR="00F3237D" w:rsidP="00F3237D" w:rsidRDefault="00F3237D" w14:paraId="32551EE9" w14:textId="77777777">
            <w:pPr>
              <w:spacing w:after="0" w:line="240" w:lineRule="auto"/>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WASH</w:t>
            </w:r>
          </w:p>
        </w:tc>
        <w:tc>
          <w:tcPr>
            <w:tcW w:w="1710" w:type="dxa"/>
            <w:tcBorders>
              <w:top w:val="nil"/>
              <w:left w:val="nil"/>
              <w:bottom w:val="single" w:color="4472C4" w:sz="4" w:space="0"/>
              <w:right w:val="single" w:color="4472C4" w:sz="4" w:space="0"/>
            </w:tcBorders>
            <w:shd w:val="clear" w:color="auto" w:fill="auto"/>
            <w:noWrap/>
            <w:vAlign w:val="bottom"/>
            <w:hideMark/>
          </w:tcPr>
          <w:p w:rsidRPr="00F3237D" w:rsidR="00F3237D" w:rsidP="00712068" w:rsidRDefault="00F3237D" w14:paraId="068FB08E" w14:textId="0ADE571D">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384,315,850</w:t>
            </w:r>
          </w:p>
        </w:tc>
        <w:tc>
          <w:tcPr>
            <w:tcW w:w="1530" w:type="dxa"/>
            <w:tcBorders>
              <w:top w:val="nil"/>
              <w:left w:val="nil"/>
              <w:bottom w:val="single" w:color="4472C4" w:sz="4" w:space="0"/>
              <w:right w:val="single" w:color="4472C4" w:sz="4" w:space="0"/>
            </w:tcBorders>
            <w:shd w:val="clear" w:color="auto" w:fill="auto"/>
            <w:noWrap/>
            <w:vAlign w:val="bottom"/>
            <w:hideMark/>
          </w:tcPr>
          <w:p w:rsidRPr="00F3237D" w:rsidR="00F3237D" w:rsidP="00F3237D" w:rsidRDefault="00F3237D" w14:paraId="5174FE3E"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23%</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12068" w:rsidRDefault="00F3237D" w14:paraId="104A7561" w14:textId="11B11A4C">
            <w:pPr>
              <w:spacing w:after="0" w:line="240" w:lineRule="auto"/>
              <w:jc w:val="right"/>
              <w:rPr>
                <w:rFonts w:ascii="Calibri" w:hAnsi="Calibri" w:eastAsia="Times New Roman" w:cs="Calibri"/>
                <w:b/>
                <w:color w:val="000000"/>
                <w:sz w:val="18"/>
                <w:szCs w:val="18"/>
                <w:lang w:eastAsia="zh-CN"/>
              </w:rPr>
            </w:pPr>
            <w:r w:rsidRPr="00AD5BDE">
              <w:rPr>
                <w:rFonts w:ascii="Calibri" w:hAnsi="Calibri" w:eastAsia="Times New Roman" w:cs="Calibri"/>
                <w:b/>
                <w:color w:val="000000"/>
                <w:sz w:val="18"/>
                <w:szCs w:val="18"/>
                <w:lang w:eastAsia="zh-CN"/>
              </w:rPr>
              <w:t>295,517,879</w:t>
            </w:r>
          </w:p>
        </w:tc>
        <w:tc>
          <w:tcPr>
            <w:tcW w:w="1260" w:type="dxa"/>
            <w:tcBorders>
              <w:top w:val="single" w:color="4472C4" w:sz="4" w:space="0"/>
              <w:left w:val="single" w:color="4472C4" w:sz="4" w:space="0"/>
              <w:bottom w:val="single" w:color="4472C4" w:sz="4" w:space="0"/>
              <w:right w:val="single" w:color="4472C4" w:sz="4" w:space="0"/>
            </w:tcBorders>
            <w:shd w:val="clear" w:color="000000" w:fill="E2EFDA"/>
            <w:noWrap/>
            <w:vAlign w:val="bottom"/>
            <w:hideMark/>
          </w:tcPr>
          <w:p w:rsidRPr="00F3237D" w:rsidR="00F3237D" w:rsidP="00F3237D" w:rsidRDefault="00F3237D" w14:paraId="1385D073" w14:textId="77777777">
            <w:pPr>
              <w:spacing w:after="0" w:line="240" w:lineRule="auto"/>
              <w:jc w:val="right"/>
              <w:rPr>
                <w:rFonts w:ascii="Calibri" w:hAnsi="Calibri" w:eastAsia="Times New Roman" w:cs="Calibri"/>
                <w:color w:val="000000"/>
                <w:sz w:val="18"/>
                <w:szCs w:val="18"/>
                <w:lang w:eastAsia="zh-CN"/>
              </w:rPr>
            </w:pPr>
            <w:r w:rsidRPr="00F3237D">
              <w:rPr>
                <w:rFonts w:ascii="Calibri" w:hAnsi="Calibri" w:eastAsia="Times New Roman" w:cs="Calibri"/>
                <w:color w:val="000000"/>
                <w:sz w:val="18"/>
                <w:szCs w:val="18"/>
                <w:lang w:eastAsia="zh-CN"/>
              </w:rPr>
              <w:t>-23%</w:t>
            </w:r>
          </w:p>
        </w:tc>
      </w:tr>
      <w:tr w:rsidRPr="00F3237D" w:rsidR="00F3237D" w:rsidTr="00712068" w14:paraId="55A6D4B2" w14:textId="77777777">
        <w:trPr>
          <w:trHeight w:val="288"/>
        </w:trPr>
        <w:tc>
          <w:tcPr>
            <w:tcW w:w="3505" w:type="dxa"/>
            <w:tcBorders>
              <w:top w:val="nil"/>
              <w:left w:val="single" w:color="4472C4" w:sz="4" w:space="0"/>
              <w:bottom w:val="single" w:color="4472C4" w:sz="4" w:space="0"/>
              <w:right w:val="single" w:color="4472C4" w:sz="4" w:space="0"/>
            </w:tcBorders>
            <w:shd w:val="clear" w:color="auto" w:fill="auto"/>
            <w:noWrap/>
            <w:vAlign w:val="bottom"/>
            <w:hideMark/>
          </w:tcPr>
          <w:p w:rsidRPr="00AD5BDE" w:rsidR="00F3237D" w:rsidP="00F3237D" w:rsidRDefault="00F3237D" w14:paraId="7590E5F8" w14:textId="77777777">
            <w:pPr>
              <w:spacing w:after="0" w:line="240" w:lineRule="auto"/>
              <w:rPr>
                <w:rFonts w:ascii="Calibri" w:hAnsi="Calibri" w:eastAsia="Times New Roman" w:cs="Calibri"/>
                <w:b/>
                <w:color w:val="000000"/>
                <w:sz w:val="20"/>
                <w:szCs w:val="20"/>
                <w:lang w:eastAsia="zh-CN"/>
              </w:rPr>
            </w:pPr>
            <w:r w:rsidRPr="00AD5BDE">
              <w:rPr>
                <w:rFonts w:ascii="Calibri" w:hAnsi="Calibri" w:eastAsia="Times New Roman" w:cs="Calibri"/>
                <w:b/>
                <w:color w:val="000000"/>
                <w:sz w:val="20"/>
                <w:szCs w:val="20"/>
                <w:lang w:eastAsia="zh-CN"/>
              </w:rPr>
              <w:t>Total</w:t>
            </w:r>
          </w:p>
        </w:tc>
        <w:tc>
          <w:tcPr>
            <w:tcW w:w="1710" w:type="dxa"/>
            <w:tcBorders>
              <w:top w:val="nil"/>
              <w:left w:val="nil"/>
              <w:bottom w:val="single" w:color="4472C4" w:sz="4" w:space="0"/>
              <w:right w:val="single" w:color="4472C4" w:sz="4" w:space="0"/>
            </w:tcBorders>
            <w:shd w:val="clear" w:color="auto" w:fill="auto"/>
            <w:noWrap/>
            <w:vAlign w:val="bottom"/>
            <w:hideMark/>
          </w:tcPr>
          <w:p w:rsidRPr="00AD5BDE" w:rsidR="00F3237D" w:rsidP="00AD5BDE" w:rsidRDefault="00F3237D" w14:paraId="52D34DE2" w14:textId="085C0843">
            <w:pPr>
              <w:spacing w:after="0" w:line="240" w:lineRule="auto"/>
              <w:rPr>
                <w:rFonts w:ascii="Calibri" w:hAnsi="Calibri" w:eastAsia="Times New Roman" w:cs="Calibri"/>
                <w:color w:val="000000"/>
                <w:sz w:val="20"/>
                <w:szCs w:val="20"/>
                <w:lang w:eastAsia="zh-CN"/>
              </w:rPr>
            </w:pPr>
            <w:r w:rsidRPr="00AD5BDE">
              <w:rPr>
                <w:rFonts w:ascii="Calibri" w:hAnsi="Calibri" w:eastAsia="Times New Roman" w:cs="Calibri"/>
                <w:color w:val="000000"/>
                <w:sz w:val="20"/>
                <w:szCs w:val="20"/>
                <w:lang w:eastAsia="zh-CN"/>
              </w:rPr>
              <w:t xml:space="preserve">       3,817,532,832 </w:t>
            </w:r>
          </w:p>
        </w:tc>
        <w:tc>
          <w:tcPr>
            <w:tcW w:w="1530" w:type="dxa"/>
            <w:tcBorders>
              <w:top w:val="nil"/>
              <w:left w:val="nil"/>
              <w:bottom w:val="single" w:color="4472C4" w:sz="4" w:space="0"/>
              <w:right w:val="single" w:color="4472C4" w:sz="4" w:space="0"/>
            </w:tcBorders>
            <w:shd w:val="clear" w:color="auto" w:fill="auto"/>
            <w:noWrap/>
            <w:vAlign w:val="bottom"/>
            <w:hideMark/>
          </w:tcPr>
          <w:p w:rsidRPr="00AD5BDE" w:rsidR="00F3237D" w:rsidP="00F3237D" w:rsidRDefault="00F3237D" w14:paraId="0F5FBB6F" w14:textId="77777777">
            <w:pPr>
              <w:spacing w:after="0" w:line="240" w:lineRule="auto"/>
              <w:jc w:val="right"/>
              <w:rPr>
                <w:rFonts w:ascii="Calibri" w:hAnsi="Calibri" w:eastAsia="Times New Roman" w:cs="Calibri"/>
                <w:color w:val="000000"/>
                <w:sz w:val="20"/>
                <w:szCs w:val="20"/>
                <w:lang w:eastAsia="zh-CN"/>
              </w:rPr>
            </w:pPr>
            <w:r w:rsidRPr="00AD5BDE">
              <w:rPr>
                <w:rFonts w:ascii="Calibri" w:hAnsi="Calibri" w:eastAsia="Times New Roman" w:cs="Calibri"/>
                <w:color w:val="000000"/>
                <w:sz w:val="20"/>
                <w:szCs w:val="20"/>
                <w:lang w:eastAsia="zh-CN"/>
              </w:rPr>
              <w:t>58.3%</w:t>
            </w:r>
          </w:p>
        </w:tc>
        <w:tc>
          <w:tcPr>
            <w:tcW w:w="2070" w:type="dxa"/>
            <w:tcBorders>
              <w:top w:val="nil"/>
              <w:left w:val="nil"/>
              <w:bottom w:val="single" w:color="4472C4" w:sz="4" w:space="0"/>
              <w:right w:val="single" w:color="4472C4" w:sz="4" w:space="0"/>
            </w:tcBorders>
            <w:shd w:val="clear" w:color="auto" w:fill="auto"/>
            <w:noWrap/>
            <w:vAlign w:val="bottom"/>
            <w:hideMark/>
          </w:tcPr>
          <w:p w:rsidRPr="00AD5BDE" w:rsidR="00F3237D" w:rsidP="00700131" w:rsidRDefault="00F3237D" w14:paraId="66A64D1D" w14:textId="77777777">
            <w:pPr>
              <w:spacing w:after="0" w:line="240" w:lineRule="auto"/>
              <w:jc w:val="right"/>
              <w:rPr>
                <w:rFonts w:ascii="Calibri" w:hAnsi="Calibri" w:eastAsia="Times New Roman" w:cs="Calibri"/>
                <w:b/>
                <w:color w:val="000000"/>
                <w:sz w:val="20"/>
                <w:szCs w:val="20"/>
                <w:lang w:eastAsia="zh-CN"/>
              </w:rPr>
            </w:pPr>
            <w:r w:rsidRPr="00AD5BDE">
              <w:rPr>
                <w:rFonts w:ascii="Calibri" w:hAnsi="Calibri" w:eastAsia="Times New Roman" w:cs="Calibri"/>
                <w:b/>
                <w:color w:val="000000"/>
                <w:sz w:val="20"/>
                <w:szCs w:val="20"/>
                <w:lang w:eastAsia="zh-CN"/>
              </w:rPr>
              <w:t xml:space="preserve">         4,224,416,704 </w:t>
            </w:r>
          </w:p>
        </w:tc>
        <w:tc>
          <w:tcPr>
            <w:tcW w:w="1260" w:type="dxa"/>
            <w:tcBorders>
              <w:top w:val="single" w:color="4472C4" w:sz="4" w:space="0"/>
              <w:left w:val="single" w:color="4472C4" w:sz="4" w:space="0"/>
              <w:bottom w:val="single" w:color="4472C4" w:sz="4" w:space="0"/>
              <w:right w:val="single" w:color="4472C4" w:sz="4" w:space="0"/>
            </w:tcBorders>
            <w:shd w:val="clear" w:color="000000" w:fill="FFF2CC"/>
            <w:noWrap/>
            <w:vAlign w:val="bottom"/>
            <w:hideMark/>
          </w:tcPr>
          <w:p w:rsidRPr="00AD5BDE" w:rsidR="00F3237D" w:rsidP="00F3237D" w:rsidRDefault="00F3237D" w14:paraId="14E94FCB" w14:textId="77777777">
            <w:pPr>
              <w:spacing w:after="0" w:line="240" w:lineRule="auto"/>
              <w:jc w:val="right"/>
              <w:rPr>
                <w:rFonts w:ascii="Calibri" w:hAnsi="Calibri" w:eastAsia="Times New Roman" w:cs="Calibri"/>
                <w:b/>
                <w:color w:val="000000"/>
                <w:sz w:val="20"/>
                <w:szCs w:val="20"/>
                <w:lang w:eastAsia="zh-CN"/>
              </w:rPr>
            </w:pPr>
            <w:r w:rsidRPr="00AD5BDE">
              <w:rPr>
                <w:rFonts w:ascii="Calibri" w:hAnsi="Calibri" w:eastAsia="Times New Roman" w:cs="Calibri"/>
                <w:b/>
                <w:color w:val="000000"/>
                <w:sz w:val="20"/>
                <w:szCs w:val="20"/>
                <w:lang w:eastAsia="zh-CN"/>
              </w:rPr>
              <w:t>11%</w:t>
            </w:r>
          </w:p>
        </w:tc>
      </w:tr>
    </w:tbl>
    <w:p w:rsidRPr="00AD5BDE" w:rsidR="00CC0C01" w:rsidP="00AD5BDE" w:rsidRDefault="00AD5BDE" w14:paraId="66030CE8" w14:textId="3D68420F">
      <w:pPr>
        <w:pStyle w:val="ListParagraph"/>
        <w:numPr>
          <w:ilvl w:val="0"/>
          <w:numId w:val="1"/>
        </w:numPr>
        <w:spacing w:after="60"/>
        <w:ind w:left="446"/>
        <w:rPr>
          <w:rFonts w:eastAsia="Calibri"/>
          <w:sz w:val="19"/>
          <w:szCs w:val="19"/>
          <w:lang w:val="en-GB"/>
        </w:rPr>
      </w:pPr>
      <w:r w:rsidRPr="00AD5BDE">
        <w:rPr>
          <w:rFonts w:eastAsia="Calibri"/>
          <w:sz w:val="19"/>
          <w:szCs w:val="19"/>
          <w:lang w:val="en-GB"/>
        </w:rPr>
        <w:t xml:space="preserve">All </w:t>
      </w:r>
      <w:proofErr w:type="spellStart"/>
      <w:r w:rsidRPr="00AD5BDE">
        <w:rPr>
          <w:rFonts w:eastAsia="Calibri"/>
          <w:sz w:val="19"/>
          <w:szCs w:val="19"/>
          <w:lang w:val="en-GB"/>
        </w:rPr>
        <w:t>WoS</w:t>
      </w:r>
      <w:proofErr w:type="spellEnd"/>
      <w:r w:rsidRPr="00AD5BDE">
        <w:rPr>
          <w:rFonts w:eastAsia="Calibri"/>
          <w:sz w:val="19"/>
          <w:szCs w:val="19"/>
          <w:lang w:val="en-GB"/>
        </w:rPr>
        <w:t xml:space="preserve"> Sectors have </w:t>
      </w:r>
      <w:r w:rsidRPr="004500C0">
        <w:rPr>
          <w:rFonts w:eastAsia="Calibri"/>
          <w:b/>
          <w:sz w:val="19"/>
          <w:szCs w:val="19"/>
          <w:lang w:val="en-GB"/>
        </w:rPr>
        <w:t>streamlined COVID-19</w:t>
      </w:r>
      <w:r w:rsidRPr="00AD5BDE">
        <w:rPr>
          <w:rFonts w:eastAsia="Calibri"/>
          <w:sz w:val="19"/>
          <w:szCs w:val="19"/>
          <w:lang w:val="en-GB"/>
        </w:rPr>
        <w:t xml:space="preserve"> response requirements in their plans and costs. Operational costs for Phases I and II of the vaccination roll-out across Syria in 2021 (about $40m) have been included under the Health Sector (one WHO and one UNICEF project).  </w:t>
      </w:r>
    </w:p>
    <w:p w:rsidR="00AD5BDE" w:rsidP="00EA1163" w:rsidRDefault="00AD5BDE" w14:paraId="2A342A71" w14:textId="77777777">
      <w:pPr>
        <w:spacing w:after="60" w:line="240" w:lineRule="auto"/>
        <w:ind w:left="86"/>
        <w:rPr>
          <w:rFonts w:eastAsia="Calibri"/>
          <w:i/>
          <w:iCs/>
          <w:sz w:val="19"/>
          <w:szCs w:val="19"/>
          <w:lang w:val="en-GB"/>
        </w:rPr>
      </w:pPr>
    </w:p>
    <w:p w:rsidR="00892F2D" w:rsidP="00EA1163" w:rsidRDefault="00892F2D" w14:paraId="4634B175" w14:textId="4F0EA109">
      <w:pPr>
        <w:spacing w:after="60" w:line="240" w:lineRule="auto"/>
        <w:ind w:left="86"/>
        <w:rPr>
          <w:rFonts w:eastAsia="Calibri"/>
          <w:i/>
          <w:iCs/>
          <w:sz w:val="19"/>
          <w:szCs w:val="19"/>
          <w:lang w:val="en-GB"/>
        </w:rPr>
      </w:pPr>
      <w:r>
        <w:rPr>
          <w:rFonts w:eastAsia="Calibri"/>
          <w:i/>
          <w:iCs/>
          <w:sz w:val="19"/>
          <w:szCs w:val="19"/>
          <w:lang w:val="en-GB"/>
        </w:rPr>
        <w:t xml:space="preserve">Top 20 requesting organizations: </w:t>
      </w:r>
    </w:p>
    <w:tbl>
      <w:tblPr>
        <w:tblW w:w="9895" w:type="dxa"/>
        <w:tblLook w:val="04A0" w:firstRow="1" w:lastRow="0" w:firstColumn="1" w:lastColumn="0" w:noHBand="0" w:noVBand="1"/>
      </w:tblPr>
      <w:tblGrid>
        <w:gridCol w:w="673"/>
        <w:gridCol w:w="2112"/>
        <w:gridCol w:w="2250"/>
        <w:gridCol w:w="1620"/>
        <w:gridCol w:w="1800"/>
        <w:gridCol w:w="1440"/>
      </w:tblGrid>
      <w:tr w:rsidRPr="00892F2D" w:rsidR="00E43AD2" w:rsidTr="004500C0" w14:paraId="30CA44DC" w14:textId="77777777">
        <w:trPr>
          <w:trHeight w:val="288"/>
        </w:trPr>
        <w:tc>
          <w:tcPr>
            <w:tcW w:w="673" w:type="dxa"/>
            <w:tcBorders>
              <w:top w:val="single" w:color="auto" w:sz="4" w:space="0"/>
              <w:left w:val="single" w:color="auto" w:sz="4" w:space="0"/>
              <w:bottom w:val="single" w:color="auto" w:sz="4" w:space="0"/>
              <w:right w:val="single" w:color="auto" w:sz="4" w:space="0"/>
            </w:tcBorders>
            <w:shd w:val="clear" w:color="000000" w:fill="305496"/>
          </w:tcPr>
          <w:p w:rsidRPr="00E43AD2" w:rsidR="00E43AD2" w:rsidP="00892F2D" w:rsidRDefault="00E43AD2" w14:paraId="64B92273" w14:textId="77777777">
            <w:pPr>
              <w:spacing w:after="0" w:line="240" w:lineRule="auto"/>
              <w:rPr>
                <w:rFonts w:ascii="Calibri" w:hAnsi="Calibri" w:eastAsia="Times New Roman" w:cs="Calibri"/>
                <w:b/>
                <w:bCs/>
                <w:color w:val="FFFFFF"/>
                <w:sz w:val="18"/>
                <w:szCs w:val="18"/>
              </w:rPr>
            </w:pPr>
          </w:p>
        </w:tc>
        <w:tc>
          <w:tcPr>
            <w:tcW w:w="2112" w:type="dxa"/>
            <w:tcBorders>
              <w:top w:val="single" w:color="auto" w:sz="4" w:space="0"/>
              <w:left w:val="single" w:color="auto" w:sz="4" w:space="0"/>
              <w:bottom w:val="single" w:color="auto" w:sz="4" w:space="0"/>
              <w:right w:val="single" w:color="auto" w:sz="4" w:space="0"/>
            </w:tcBorders>
            <w:shd w:val="clear" w:color="000000" w:fill="305496"/>
            <w:vAlign w:val="center"/>
            <w:hideMark/>
          </w:tcPr>
          <w:p w:rsidRPr="00892F2D" w:rsidR="00E43AD2" w:rsidP="00892F2D" w:rsidRDefault="00E43AD2" w14:paraId="1DE9F952" w14:textId="272F82C9">
            <w:pPr>
              <w:spacing w:after="0" w:line="240" w:lineRule="auto"/>
              <w:rPr>
                <w:rFonts w:ascii="Calibri" w:hAnsi="Calibri" w:eastAsia="Times New Roman" w:cs="Calibri"/>
                <w:b/>
                <w:bCs/>
                <w:color w:val="FFFFFF"/>
                <w:sz w:val="18"/>
                <w:szCs w:val="18"/>
              </w:rPr>
            </w:pPr>
            <w:r w:rsidRPr="00892F2D">
              <w:rPr>
                <w:rFonts w:ascii="Calibri" w:hAnsi="Calibri" w:eastAsia="Times New Roman" w:cs="Calibri"/>
                <w:b/>
                <w:bCs/>
                <w:color w:val="FFFFFF"/>
                <w:sz w:val="18"/>
                <w:szCs w:val="18"/>
              </w:rPr>
              <w:t>Organization</w:t>
            </w:r>
          </w:p>
        </w:tc>
        <w:tc>
          <w:tcPr>
            <w:tcW w:w="2250" w:type="dxa"/>
            <w:tcBorders>
              <w:top w:val="single" w:color="auto" w:sz="4" w:space="0"/>
              <w:left w:val="nil"/>
              <w:bottom w:val="single" w:color="auto" w:sz="4" w:space="0"/>
              <w:right w:val="single" w:color="auto" w:sz="4" w:space="0"/>
            </w:tcBorders>
            <w:shd w:val="clear" w:color="auto" w:fill="8EAADB" w:themeFill="accent1" w:themeFillTint="99"/>
            <w:vAlign w:val="center"/>
            <w:hideMark/>
          </w:tcPr>
          <w:p w:rsidRPr="00892F2D" w:rsidR="00E43AD2" w:rsidP="00892F2D" w:rsidRDefault="00E43AD2" w14:paraId="340E7CC1" w14:textId="6B4BA496">
            <w:pPr>
              <w:spacing w:after="0" w:line="240" w:lineRule="auto"/>
              <w:jc w:val="center"/>
              <w:rPr>
                <w:rFonts w:ascii="Calibri" w:hAnsi="Calibri" w:eastAsia="Times New Roman" w:cs="Calibri"/>
                <w:b/>
                <w:bCs/>
                <w:color w:val="FFFFFF"/>
                <w:sz w:val="18"/>
                <w:szCs w:val="18"/>
              </w:rPr>
            </w:pPr>
            <w:r w:rsidRPr="00892F2D">
              <w:rPr>
                <w:rFonts w:ascii="Calibri" w:hAnsi="Calibri" w:eastAsia="Times New Roman" w:cs="Calibri"/>
                <w:b/>
                <w:bCs/>
                <w:color w:val="FFFFFF"/>
                <w:sz w:val="18"/>
                <w:szCs w:val="18"/>
              </w:rPr>
              <w:t xml:space="preserve"> 2020 </w:t>
            </w:r>
            <w:r w:rsidR="00E7616E">
              <w:rPr>
                <w:rFonts w:ascii="Calibri" w:hAnsi="Calibri" w:eastAsia="Times New Roman" w:cs="Calibri"/>
                <w:b/>
                <w:bCs/>
                <w:color w:val="FFFFFF"/>
                <w:sz w:val="18"/>
                <w:szCs w:val="18"/>
              </w:rPr>
              <w:t>R</w:t>
            </w:r>
            <w:r w:rsidRPr="00892F2D">
              <w:rPr>
                <w:rFonts w:ascii="Calibri" w:hAnsi="Calibri" w:eastAsia="Times New Roman" w:cs="Calibri"/>
                <w:b/>
                <w:bCs/>
                <w:color w:val="FFFFFF"/>
                <w:sz w:val="18"/>
                <w:szCs w:val="18"/>
              </w:rPr>
              <w:t xml:space="preserve">equirements </w:t>
            </w:r>
            <w:r w:rsidR="00E7616E">
              <w:rPr>
                <w:rFonts w:ascii="Calibri" w:hAnsi="Calibri" w:eastAsia="Times New Roman" w:cs="Calibri"/>
                <w:b/>
                <w:bCs/>
                <w:color w:val="FFFFFF"/>
                <w:sz w:val="18"/>
                <w:szCs w:val="18"/>
              </w:rPr>
              <w:t>(</w:t>
            </w:r>
            <w:r w:rsidRPr="00892F2D">
              <w:rPr>
                <w:rFonts w:ascii="Calibri" w:hAnsi="Calibri" w:eastAsia="Times New Roman" w:cs="Calibri"/>
                <w:b/>
                <w:bCs/>
                <w:color w:val="FFFFFF"/>
                <w:sz w:val="18"/>
                <w:szCs w:val="18"/>
              </w:rPr>
              <w:t>US$</w:t>
            </w:r>
            <w:r w:rsidR="00E7616E">
              <w:rPr>
                <w:rFonts w:ascii="Calibri" w:hAnsi="Calibri" w:eastAsia="Times New Roman" w:cs="Calibri"/>
                <w:b/>
                <w:bCs/>
                <w:color w:val="FFFFFF"/>
                <w:sz w:val="18"/>
                <w:szCs w:val="18"/>
              </w:rPr>
              <w:t>)</w:t>
            </w:r>
            <w:r w:rsidRPr="00892F2D">
              <w:rPr>
                <w:rFonts w:ascii="Calibri" w:hAnsi="Calibri" w:eastAsia="Times New Roman" w:cs="Calibri"/>
                <w:b/>
                <w:bCs/>
                <w:color w:val="FFFFFF"/>
                <w:sz w:val="18"/>
                <w:szCs w:val="18"/>
              </w:rPr>
              <w:t xml:space="preserve"> </w:t>
            </w:r>
          </w:p>
        </w:tc>
        <w:tc>
          <w:tcPr>
            <w:tcW w:w="1620" w:type="dxa"/>
            <w:tcBorders>
              <w:top w:val="single" w:color="auto" w:sz="4" w:space="0"/>
              <w:left w:val="nil"/>
              <w:bottom w:val="single" w:color="auto" w:sz="4" w:space="0"/>
              <w:right w:val="single" w:color="auto" w:sz="4" w:space="0"/>
            </w:tcBorders>
            <w:shd w:val="clear" w:color="auto" w:fill="8EAADB" w:themeFill="accent1" w:themeFillTint="99"/>
            <w:vAlign w:val="center"/>
            <w:hideMark/>
          </w:tcPr>
          <w:p w:rsidRPr="00892F2D" w:rsidR="00E43AD2" w:rsidP="00892F2D" w:rsidRDefault="00E43AD2" w14:paraId="2AD4DA45" w14:textId="77777777">
            <w:pPr>
              <w:spacing w:after="0" w:line="240" w:lineRule="auto"/>
              <w:jc w:val="center"/>
              <w:rPr>
                <w:rFonts w:ascii="Calibri" w:hAnsi="Calibri" w:eastAsia="Times New Roman" w:cs="Calibri"/>
                <w:b/>
                <w:bCs/>
                <w:color w:val="FFFFFF"/>
                <w:sz w:val="18"/>
                <w:szCs w:val="18"/>
              </w:rPr>
            </w:pPr>
            <w:r w:rsidRPr="00892F2D">
              <w:rPr>
                <w:rFonts w:ascii="Calibri" w:hAnsi="Calibri" w:eastAsia="Times New Roman" w:cs="Calibri"/>
                <w:b/>
                <w:bCs/>
                <w:color w:val="FFFFFF"/>
                <w:sz w:val="18"/>
                <w:szCs w:val="18"/>
              </w:rPr>
              <w:t>2020 Coverage</w:t>
            </w:r>
          </w:p>
        </w:tc>
        <w:tc>
          <w:tcPr>
            <w:tcW w:w="1800" w:type="dxa"/>
            <w:tcBorders>
              <w:top w:val="single" w:color="auto" w:sz="4" w:space="0"/>
              <w:left w:val="nil"/>
              <w:bottom w:val="single" w:color="auto" w:sz="4" w:space="0"/>
              <w:right w:val="single" w:color="auto" w:sz="4" w:space="0"/>
            </w:tcBorders>
            <w:shd w:val="clear" w:color="000000" w:fill="305496"/>
            <w:vAlign w:val="center"/>
            <w:hideMark/>
          </w:tcPr>
          <w:p w:rsidRPr="00892F2D" w:rsidR="00E43AD2" w:rsidP="00E43AD2" w:rsidRDefault="00E43AD2" w14:paraId="42C660F5" w14:textId="1FB31CEF">
            <w:pPr>
              <w:spacing w:after="0" w:line="240" w:lineRule="auto"/>
              <w:jc w:val="center"/>
              <w:rPr>
                <w:rFonts w:ascii="Calibri" w:hAnsi="Calibri" w:eastAsia="Times New Roman" w:cs="Calibri"/>
                <w:b/>
                <w:bCs/>
                <w:color w:val="FFFFFF"/>
                <w:sz w:val="18"/>
                <w:szCs w:val="18"/>
              </w:rPr>
            </w:pPr>
            <w:r w:rsidRPr="00892F2D">
              <w:rPr>
                <w:rFonts w:ascii="Calibri" w:hAnsi="Calibri" w:eastAsia="Times New Roman" w:cs="Calibri"/>
                <w:b/>
                <w:bCs/>
                <w:color w:val="FFFFFF"/>
                <w:sz w:val="18"/>
                <w:szCs w:val="18"/>
              </w:rPr>
              <w:t xml:space="preserve">2021 </w:t>
            </w:r>
            <w:r w:rsidR="00E7616E">
              <w:rPr>
                <w:rFonts w:ascii="Calibri" w:hAnsi="Calibri" w:eastAsia="Times New Roman" w:cs="Calibri"/>
                <w:b/>
                <w:bCs/>
                <w:color w:val="FFFFFF"/>
                <w:sz w:val="18"/>
                <w:szCs w:val="18"/>
              </w:rPr>
              <w:t>R</w:t>
            </w:r>
            <w:r w:rsidRPr="00892F2D" w:rsidR="00E7616E">
              <w:rPr>
                <w:rFonts w:ascii="Calibri" w:hAnsi="Calibri" w:eastAsia="Times New Roman" w:cs="Calibri"/>
                <w:b/>
                <w:bCs/>
                <w:color w:val="FFFFFF"/>
                <w:sz w:val="18"/>
                <w:szCs w:val="18"/>
              </w:rPr>
              <w:t>eq</w:t>
            </w:r>
            <w:r w:rsidR="00E7616E">
              <w:rPr>
                <w:rFonts w:ascii="Calibri" w:hAnsi="Calibri" w:eastAsia="Times New Roman" w:cs="Calibri"/>
                <w:b/>
                <w:bCs/>
                <w:color w:val="FFFFFF"/>
                <w:sz w:val="18"/>
                <w:szCs w:val="18"/>
              </w:rPr>
              <w:t>uirements</w:t>
            </w:r>
            <w:r w:rsidRPr="00892F2D">
              <w:rPr>
                <w:rFonts w:ascii="Calibri" w:hAnsi="Calibri" w:eastAsia="Times New Roman" w:cs="Calibri"/>
                <w:b/>
                <w:bCs/>
                <w:color w:val="FFFFFF"/>
                <w:sz w:val="18"/>
                <w:szCs w:val="18"/>
              </w:rPr>
              <w:t xml:space="preserve"> </w:t>
            </w:r>
            <w:r w:rsidR="00E7616E">
              <w:rPr>
                <w:rFonts w:ascii="Calibri" w:hAnsi="Calibri" w:eastAsia="Times New Roman" w:cs="Calibri"/>
                <w:b/>
                <w:bCs/>
                <w:color w:val="FFFFFF"/>
                <w:sz w:val="18"/>
                <w:szCs w:val="18"/>
              </w:rPr>
              <w:t>(</w:t>
            </w:r>
            <w:r w:rsidRPr="00892F2D">
              <w:rPr>
                <w:rFonts w:ascii="Calibri" w:hAnsi="Calibri" w:eastAsia="Times New Roman" w:cs="Calibri"/>
                <w:b/>
                <w:bCs/>
                <w:color w:val="FFFFFF"/>
                <w:sz w:val="18"/>
                <w:szCs w:val="18"/>
              </w:rPr>
              <w:t>US$</w:t>
            </w:r>
            <w:r w:rsidR="00E7616E">
              <w:rPr>
                <w:rFonts w:ascii="Calibri" w:hAnsi="Calibri" w:eastAsia="Times New Roman" w:cs="Calibri"/>
                <w:b/>
                <w:bCs/>
                <w:color w:val="FFFFFF"/>
                <w:sz w:val="18"/>
                <w:szCs w:val="18"/>
              </w:rPr>
              <w:t>)</w:t>
            </w:r>
          </w:p>
        </w:tc>
        <w:tc>
          <w:tcPr>
            <w:tcW w:w="1440" w:type="dxa"/>
            <w:tcBorders>
              <w:top w:val="single" w:color="auto" w:sz="4" w:space="0"/>
              <w:left w:val="nil"/>
              <w:bottom w:val="single" w:color="auto" w:sz="4" w:space="0"/>
              <w:right w:val="single" w:color="auto" w:sz="4" w:space="0"/>
            </w:tcBorders>
            <w:shd w:val="clear" w:color="000000" w:fill="305496"/>
            <w:vAlign w:val="center"/>
            <w:hideMark/>
          </w:tcPr>
          <w:p w:rsidRPr="00892F2D" w:rsidR="00E43AD2" w:rsidP="00892F2D" w:rsidRDefault="00E43AD2" w14:paraId="4F827351" w14:textId="0EA6BDCF">
            <w:pPr>
              <w:spacing w:after="0" w:line="240" w:lineRule="auto"/>
              <w:jc w:val="center"/>
              <w:rPr>
                <w:rFonts w:ascii="Calibri" w:hAnsi="Calibri" w:eastAsia="Times New Roman" w:cs="Calibri"/>
                <w:b/>
                <w:bCs/>
                <w:color w:val="FFFFFF"/>
                <w:sz w:val="18"/>
                <w:szCs w:val="18"/>
              </w:rPr>
            </w:pPr>
            <w:r w:rsidRPr="00892F2D">
              <w:rPr>
                <w:rFonts w:ascii="Calibri" w:hAnsi="Calibri" w:eastAsia="Times New Roman" w:cs="Calibri"/>
                <w:b/>
                <w:bCs/>
                <w:color w:val="FFFFFF"/>
                <w:sz w:val="18"/>
                <w:szCs w:val="18"/>
              </w:rPr>
              <w:t xml:space="preserve">Variation </w:t>
            </w:r>
            <w:r w:rsidR="004500C0">
              <w:rPr>
                <w:rFonts w:ascii="Calibri" w:hAnsi="Calibri" w:eastAsia="Times New Roman" w:cs="Calibri"/>
                <w:b/>
                <w:bCs/>
                <w:color w:val="FFFFFF"/>
                <w:sz w:val="18"/>
                <w:szCs w:val="18"/>
              </w:rPr>
              <w:t>to</w:t>
            </w:r>
            <w:r w:rsidRPr="00892F2D">
              <w:rPr>
                <w:rFonts w:ascii="Calibri" w:hAnsi="Calibri" w:eastAsia="Times New Roman" w:cs="Calibri"/>
                <w:b/>
                <w:bCs/>
                <w:color w:val="FFFFFF"/>
                <w:sz w:val="18"/>
                <w:szCs w:val="18"/>
              </w:rPr>
              <w:t xml:space="preserve"> 2020</w:t>
            </w:r>
          </w:p>
        </w:tc>
      </w:tr>
      <w:tr w:rsidRPr="00892F2D" w:rsidR="00BF5165" w:rsidTr="004C69E0" w14:paraId="266D09D6"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0DB1518E" w14:textId="17E073CD">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2306B7" w14:paraId="5AC08682" w14:textId="70BEC81B">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WFP</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26F51A38"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801,837,125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23FBACE3"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62%</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09245271"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1,127,670,230</w:t>
            </w:r>
          </w:p>
        </w:tc>
        <w:tc>
          <w:tcPr>
            <w:tcW w:w="1440" w:type="dxa"/>
            <w:tcBorders>
              <w:top w:val="nil"/>
              <w:left w:val="nil"/>
              <w:bottom w:val="single" w:color="auto" w:sz="4" w:space="0"/>
              <w:right w:val="single" w:color="auto" w:sz="4" w:space="0"/>
            </w:tcBorders>
            <w:shd w:val="clear" w:color="000000" w:fill="FFF2CC"/>
            <w:noWrap/>
            <w:vAlign w:val="bottom"/>
            <w:hideMark/>
          </w:tcPr>
          <w:p w:rsidRPr="00892F2D" w:rsidR="00BF5165" w:rsidP="00BF5165" w:rsidRDefault="00BF5165" w14:paraId="517B6196"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41%</w:t>
            </w:r>
          </w:p>
        </w:tc>
      </w:tr>
      <w:tr w:rsidRPr="00892F2D" w:rsidR="00BF5165" w:rsidTr="004C69E0" w14:paraId="6A84DD2E"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1CE51A80" w14:textId="18C74349">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2</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2306B7" w14:paraId="401F14A2" w14:textId="6E9BA762">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UNHCR</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0367660B"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472,381,683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30C269A5"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57%</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2D5BBAE1"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472,664,244</w:t>
            </w:r>
          </w:p>
        </w:tc>
        <w:tc>
          <w:tcPr>
            <w:tcW w:w="1440" w:type="dxa"/>
            <w:tcBorders>
              <w:top w:val="nil"/>
              <w:left w:val="nil"/>
              <w:bottom w:val="single" w:color="auto" w:sz="4" w:space="0"/>
              <w:right w:val="single" w:color="auto" w:sz="4" w:space="0"/>
            </w:tcBorders>
            <w:shd w:val="clear" w:color="000000" w:fill="C6E0B4"/>
            <w:noWrap/>
            <w:vAlign w:val="bottom"/>
            <w:hideMark/>
          </w:tcPr>
          <w:p w:rsidRPr="00892F2D" w:rsidR="00BF5165" w:rsidP="00BF5165" w:rsidRDefault="00BF5165" w14:paraId="331D1EB5"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0%</w:t>
            </w:r>
          </w:p>
        </w:tc>
      </w:tr>
      <w:tr w:rsidRPr="00892F2D" w:rsidR="00BF5165" w:rsidTr="004C69E0" w14:paraId="2CBD2672"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6CC75DE7" w14:textId="2F6D09C2">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3</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2306B7" w14:paraId="06263051" w14:textId="6080D8BD">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UNICEF</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0218378C"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267,106,111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76179819"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72%</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0232F7AA"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330,844,247</w:t>
            </w:r>
          </w:p>
        </w:tc>
        <w:tc>
          <w:tcPr>
            <w:tcW w:w="1440" w:type="dxa"/>
            <w:tcBorders>
              <w:top w:val="nil"/>
              <w:left w:val="nil"/>
              <w:bottom w:val="single" w:color="auto" w:sz="4" w:space="0"/>
              <w:right w:val="single" w:color="auto" w:sz="4" w:space="0"/>
            </w:tcBorders>
            <w:shd w:val="clear" w:color="000000" w:fill="C6E0B4"/>
            <w:noWrap/>
            <w:vAlign w:val="bottom"/>
            <w:hideMark/>
          </w:tcPr>
          <w:p w:rsidRPr="00892F2D" w:rsidR="00BF5165" w:rsidP="00BF5165" w:rsidRDefault="00BF5165" w14:paraId="7853F39F"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24%</w:t>
            </w:r>
          </w:p>
        </w:tc>
      </w:tr>
      <w:tr w:rsidRPr="00892F2D" w:rsidR="00BF5165" w:rsidTr="004C69E0" w14:paraId="3AE8593C"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0470CB23" w14:textId="051C20D6">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4</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2306B7" w14:paraId="6F789BC2" w14:textId="252885A4">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WHO</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00FC5219"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162,729,103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6AE63CDB"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68%</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1DB98B1B"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243,713,910</w:t>
            </w:r>
          </w:p>
        </w:tc>
        <w:tc>
          <w:tcPr>
            <w:tcW w:w="1440" w:type="dxa"/>
            <w:tcBorders>
              <w:top w:val="nil"/>
              <w:left w:val="nil"/>
              <w:bottom w:val="single" w:color="auto" w:sz="4" w:space="0"/>
              <w:right w:val="single" w:color="auto" w:sz="4" w:space="0"/>
            </w:tcBorders>
            <w:shd w:val="clear" w:color="000000" w:fill="FFF2CC"/>
            <w:noWrap/>
            <w:vAlign w:val="bottom"/>
            <w:hideMark/>
          </w:tcPr>
          <w:p w:rsidRPr="00892F2D" w:rsidR="00BF5165" w:rsidP="00BF5165" w:rsidRDefault="00BF5165" w14:paraId="721A5F40"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50%</w:t>
            </w:r>
          </w:p>
        </w:tc>
      </w:tr>
      <w:tr w:rsidRPr="00892F2D" w:rsidR="00BF5165" w:rsidTr="004C69E0" w14:paraId="5F0A503D" w14:textId="77777777">
        <w:trPr>
          <w:trHeight w:val="288"/>
        </w:trPr>
        <w:tc>
          <w:tcPr>
            <w:tcW w:w="673" w:type="dxa"/>
            <w:tcBorders>
              <w:top w:val="nil"/>
              <w:left w:val="single" w:color="auto" w:sz="4" w:space="0"/>
              <w:bottom w:val="single" w:color="auto" w:sz="4" w:space="0"/>
              <w:right w:val="single" w:color="auto" w:sz="4" w:space="0"/>
            </w:tcBorders>
            <w:vAlign w:val="bottom"/>
          </w:tcPr>
          <w:p w:rsidRPr="007D6D4C" w:rsidR="00BF5165" w:rsidP="00BF5165" w:rsidRDefault="00BF5165" w14:paraId="53D9409E" w14:textId="23245E8D">
            <w:pPr>
              <w:spacing w:after="0" w:line="240" w:lineRule="auto"/>
              <w:rPr>
                <w:rFonts w:ascii="Calibri" w:hAnsi="Calibri" w:eastAsia="Times New Roman" w:cs="Calibri"/>
                <w:color w:val="000000"/>
                <w:sz w:val="18"/>
                <w:szCs w:val="18"/>
              </w:rPr>
            </w:pPr>
            <w:r w:rsidRPr="007D6D4C">
              <w:rPr>
                <w:rFonts w:ascii="Calibri" w:hAnsi="Calibri" w:eastAsia="Times New Roman" w:cs="Calibri"/>
                <w:color w:val="000000"/>
                <w:sz w:val="18"/>
                <w:szCs w:val="18"/>
              </w:rPr>
              <w:t>5</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7D6D4C" w:rsidR="00BF5165" w:rsidP="00BF5165" w:rsidRDefault="00BF5165" w14:paraId="7EB4140E" w14:textId="1DFC8777">
            <w:pPr>
              <w:spacing w:after="0" w:line="240" w:lineRule="auto"/>
              <w:rPr>
                <w:rFonts w:ascii="Calibri" w:hAnsi="Calibri" w:eastAsia="Times New Roman" w:cs="Calibri"/>
                <w:color w:val="000000"/>
                <w:sz w:val="18"/>
                <w:szCs w:val="18"/>
              </w:rPr>
            </w:pPr>
            <w:r w:rsidRPr="007D6D4C">
              <w:rPr>
                <w:rFonts w:ascii="Calibri" w:hAnsi="Calibri" w:eastAsia="Times New Roman" w:cs="Calibri"/>
                <w:color w:val="000000"/>
                <w:sz w:val="18"/>
                <w:szCs w:val="18"/>
              </w:rPr>
              <w:t xml:space="preserve">NGOs </w:t>
            </w:r>
            <w:r w:rsidRPr="007D6D4C" w:rsidR="00CC4E03">
              <w:rPr>
                <w:rFonts w:ascii="Calibri" w:hAnsi="Calibri" w:eastAsia="Times New Roman" w:cs="Calibri"/>
                <w:color w:val="000000"/>
                <w:sz w:val="18"/>
                <w:szCs w:val="18"/>
              </w:rPr>
              <w:t>(Anonymous</w:t>
            </w:r>
            <w:r w:rsidRPr="007D6D4C">
              <w:rPr>
                <w:rFonts w:ascii="Calibri" w:hAnsi="Calibri" w:eastAsia="Times New Roman" w:cs="Calibri"/>
                <w:color w:val="000000"/>
                <w:sz w:val="18"/>
                <w:szCs w:val="18"/>
              </w:rPr>
              <w:t>)</w:t>
            </w:r>
          </w:p>
        </w:tc>
        <w:tc>
          <w:tcPr>
            <w:tcW w:w="2250" w:type="dxa"/>
            <w:tcBorders>
              <w:top w:val="nil"/>
              <w:left w:val="nil"/>
              <w:bottom w:val="single" w:color="auto" w:sz="4" w:space="0"/>
              <w:right w:val="single" w:color="auto" w:sz="4" w:space="0"/>
            </w:tcBorders>
            <w:shd w:val="clear" w:color="auto" w:fill="auto"/>
            <w:noWrap/>
            <w:vAlign w:val="bottom"/>
            <w:hideMark/>
          </w:tcPr>
          <w:p w:rsidRPr="007D6D4C" w:rsidR="00BF5165" w:rsidP="00BF5165" w:rsidRDefault="00BF5165" w14:paraId="5D72654E" w14:textId="77777777">
            <w:pPr>
              <w:spacing w:after="0" w:line="240" w:lineRule="auto"/>
              <w:rPr>
                <w:rFonts w:ascii="Calibri" w:hAnsi="Calibri" w:eastAsia="Times New Roman" w:cs="Calibri"/>
                <w:color w:val="000000"/>
                <w:sz w:val="18"/>
                <w:szCs w:val="18"/>
              </w:rPr>
            </w:pPr>
            <w:r w:rsidRPr="007D6D4C">
              <w:rPr>
                <w:rFonts w:ascii="Calibri" w:hAnsi="Calibri" w:eastAsia="Times New Roman" w:cs="Calibri"/>
                <w:color w:val="000000"/>
                <w:sz w:val="18"/>
                <w:szCs w:val="18"/>
              </w:rPr>
              <w:t xml:space="preserve">                           172,848,288 </w:t>
            </w:r>
          </w:p>
        </w:tc>
        <w:tc>
          <w:tcPr>
            <w:tcW w:w="1620" w:type="dxa"/>
            <w:tcBorders>
              <w:top w:val="nil"/>
              <w:left w:val="nil"/>
              <w:bottom w:val="single" w:color="auto" w:sz="4" w:space="0"/>
              <w:right w:val="single" w:color="auto" w:sz="4" w:space="0"/>
            </w:tcBorders>
            <w:shd w:val="clear" w:color="auto" w:fill="auto"/>
            <w:noWrap/>
            <w:vAlign w:val="bottom"/>
            <w:hideMark/>
          </w:tcPr>
          <w:p w:rsidRPr="007D6D4C" w:rsidR="00BF5165" w:rsidP="00BF5165" w:rsidRDefault="00BF5165" w14:paraId="08A543DF" w14:textId="77777777">
            <w:pPr>
              <w:spacing w:after="0" w:line="240" w:lineRule="auto"/>
              <w:jc w:val="right"/>
              <w:rPr>
                <w:rFonts w:ascii="Calibri" w:hAnsi="Calibri" w:eastAsia="Times New Roman" w:cs="Calibri"/>
                <w:color w:val="000000"/>
                <w:sz w:val="18"/>
                <w:szCs w:val="18"/>
              </w:rPr>
            </w:pPr>
            <w:r w:rsidRPr="007D6D4C">
              <w:rPr>
                <w:rFonts w:ascii="Calibri" w:hAnsi="Calibri" w:eastAsia="Times New Roman" w:cs="Calibri"/>
                <w:color w:val="000000"/>
                <w:sz w:val="18"/>
                <w:szCs w:val="18"/>
              </w:rPr>
              <w:t>276%</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47297005"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207,862,551</w:t>
            </w:r>
          </w:p>
        </w:tc>
        <w:tc>
          <w:tcPr>
            <w:tcW w:w="1440" w:type="dxa"/>
            <w:tcBorders>
              <w:top w:val="nil"/>
              <w:left w:val="nil"/>
              <w:bottom w:val="single" w:color="auto" w:sz="4" w:space="0"/>
              <w:right w:val="single" w:color="auto" w:sz="4" w:space="0"/>
            </w:tcBorders>
            <w:shd w:val="clear" w:color="000000" w:fill="C6E0B4"/>
            <w:noWrap/>
            <w:vAlign w:val="bottom"/>
            <w:hideMark/>
          </w:tcPr>
          <w:p w:rsidRPr="007D6D4C" w:rsidR="00BF5165" w:rsidP="00BF5165" w:rsidRDefault="00BF5165" w14:paraId="1BBB3786" w14:textId="77777777">
            <w:pPr>
              <w:spacing w:after="0" w:line="240" w:lineRule="auto"/>
              <w:jc w:val="right"/>
              <w:rPr>
                <w:rFonts w:ascii="Calibri" w:hAnsi="Calibri" w:eastAsia="Times New Roman" w:cs="Calibri"/>
                <w:color w:val="000000"/>
                <w:sz w:val="18"/>
                <w:szCs w:val="18"/>
              </w:rPr>
            </w:pPr>
            <w:r w:rsidRPr="007D6D4C">
              <w:rPr>
                <w:rFonts w:ascii="Calibri" w:hAnsi="Calibri" w:eastAsia="Times New Roman" w:cs="Calibri"/>
                <w:color w:val="000000"/>
                <w:sz w:val="18"/>
                <w:szCs w:val="18"/>
              </w:rPr>
              <w:t>20%</w:t>
            </w:r>
          </w:p>
        </w:tc>
      </w:tr>
      <w:tr w:rsidRPr="00892F2D" w:rsidR="00BF5165" w:rsidTr="004C69E0" w14:paraId="51D280D0"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5C46CBB2" w14:textId="454C128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6</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2306B7" w14:paraId="29B51AE3" w14:textId="04C2BB0D">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UNRWA</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23D5516E"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209,845,580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49A1B011"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24%</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5AEC647A"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191,867,994</w:t>
            </w:r>
          </w:p>
        </w:tc>
        <w:tc>
          <w:tcPr>
            <w:tcW w:w="1440" w:type="dxa"/>
            <w:tcBorders>
              <w:top w:val="nil"/>
              <w:left w:val="nil"/>
              <w:bottom w:val="single" w:color="auto" w:sz="4" w:space="0"/>
              <w:right w:val="single" w:color="auto" w:sz="4" w:space="0"/>
            </w:tcBorders>
            <w:shd w:val="clear" w:color="000000" w:fill="C6E0B4"/>
            <w:noWrap/>
            <w:vAlign w:val="bottom"/>
            <w:hideMark/>
          </w:tcPr>
          <w:p w:rsidRPr="00892F2D" w:rsidR="00BF5165" w:rsidP="00BF5165" w:rsidRDefault="00BF5165" w14:paraId="39D7702A"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-9%</w:t>
            </w:r>
          </w:p>
        </w:tc>
      </w:tr>
      <w:tr w:rsidRPr="00892F2D" w:rsidR="00BF5165" w:rsidTr="004C69E0" w14:paraId="794E78A9"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02E576C3" w14:textId="126F8D94">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7</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A44D62" w14:paraId="13A4822F" w14:textId="3B93C5B2">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FAO</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2922F7A7"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98,850,000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3D838C72"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8%</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7AAFD5E4"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170,000,000</w:t>
            </w:r>
          </w:p>
        </w:tc>
        <w:tc>
          <w:tcPr>
            <w:tcW w:w="1440" w:type="dxa"/>
            <w:tcBorders>
              <w:top w:val="nil"/>
              <w:left w:val="nil"/>
              <w:bottom w:val="single" w:color="auto" w:sz="4" w:space="0"/>
              <w:right w:val="single" w:color="auto" w:sz="4" w:space="0"/>
            </w:tcBorders>
            <w:shd w:val="clear" w:color="000000" w:fill="FFCCCC"/>
            <w:noWrap/>
            <w:vAlign w:val="bottom"/>
            <w:hideMark/>
          </w:tcPr>
          <w:p w:rsidRPr="00892F2D" w:rsidR="00BF5165" w:rsidP="00BF5165" w:rsidRDefault="00BF5165" w14:paraId="46AD7BEC"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72%</w:t>
            </w:r>
          </w:p>
        </w:tc>
      </w:tr>
      <w:tr w:rsidRPr="00892F2D" w:rsidR="00BF5165" w:rsidTr="004C69E0" w14:paraId="3925FD5A"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6C9D4056" w14:textId="5C9713A5">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8</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A44D62" w14:paraId="5277DC29" w14:textId="2BE81E5B">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IOM</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5B45F8F8"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90,652,112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266D2766"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52%</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448D3DB6"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91,115,274</w:t>
            </w:r>
          </w:p>
        </w:tc>
        <w:tc>
          <w:tcPr>
            <w:tcW w:w="1440" w:type="dxa"/>
            <w:tcBorders>
              <w:top w:val="nil"/>
              <w:left w:val="nil"/>
              <w:bottom w:val="single" w:color="auto" w:sz="4" w:space="0"/>
              <w:right w:val="single" w:color="auto" w:sz="4" w:space="0"/>
            </w:tcBorders>
            <w:shd w:val="clear" w:color="000000" w:fill="C6E0B4"/>
            <w:noWrap/>
            <w:vAlign w:val="bottom"/>
            <w:hideMark/>
          </w:tcPr>
          <w:p w:rsidRPr="00892F2D" w:rsidR="00BF5165" w:rsidP="00BF5165" w:rsidRDefault="00BF5165" w14:paraId="798537CB"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1%</w:t>
            </w:r>
          </w:p>
        </w:tc>
      </w:tr>
      <w:tr w:rsidRPr="00892F2D" w:rsidR="00BF5165" w:rsidTr="004C69E0" w14:paraId="37A27C6E"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691A132A" w14:textId="2AD99994">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9</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A44D62" w14:paraId="017531D4" w14:textId="27D2AB30">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UNDP</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0805341D"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72,873,955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4AACE273"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33%</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657837AB"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63,885,841</w:t>
            </w:r>
          </w:p>
        </w:tc>
        <w:tc>
          <w:tcPr>
            <w:tcW w:w="1440" w:type="dxa"/>
            <w:tcBorders>
              <w:top w:val="nil"/>
              <w:left w:val="nil"/>
              <w:bottom w:val="single" w:color="auto" w:sz="4" w:space="0"/>
              <w:right w:val="single" w:color="auto" w:sz="4" w:space="0"/>
            </w:tcBorders>
            <w:shd w:val="clear" w:color="000000" w:fill="C6E0B4"/>
            <w:noWrap/>
            <w:vAlign w:val="bottom"/>
            <w:hideMark/>
          </w:tcPr>
          <w:p w:rsidRPr="00892F2D" w:rsidR="00BF5165" w:rsidP="00BF5165" w:rsidRDefault="00BF5165" w14:paraId="4FFC9434"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-12%</w:t>
            </w:r>
          </w:p>
        </w:tc>
      </w:tr>
      <w:tr w:rsidRPr="00892F2D" w:rsidR="00BF5165" w:rsidTr="004C69E0" w14:paraId="133BE352"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3DDFEBC7" w14:textId="78E5872C">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10</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A44D62" w14:paraId="6F8C58F5" w14:textId="2952EC0E">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UNFPA</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763D9667"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55,539,720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33BFE0BC"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61%</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631D54C0"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63,422,536</w:t>
            </w:r>
          </w:p>
        </w:tc>
        <w:tc>
          <w:tcPr>
            <w:tcW w:w="1440" w:type="dxa"/>
            <w:tcBorders>
              <w:top w:val="nil"/>
              <w:left w:val="nil"/>
              <w:bottom w:val="single" w:color="auto" w:sz="4" w:space="0"/>
              <w:right w:val="single" w:color="auto" w:sz="4" w:space="0"/>
            </w:tcBorders>
            <w:shd w:val="clear" w:color="000000" w:fill="C6E0B4"/>
            <w:noWrap/>
            <w:vAlign w:val="bottom"/>
            <w:hideMark/>
          </w:tcPr>
          <w:p w:rsidRPr="00892F2D" w:rsidR="00BF5165" w:rsidP="00BF5165" w:rsidRDefault="00BF5165" w14:paraId="77493C63"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14%</w:t>
            </w:r>
          </w:p>
        </w:tc>
      </w:tr>
      <w:tr w:rsidRPr="00892F2D" w:rsidR="00BF5165" w:rsidTr="004C69E0" w14:paraId="6095430F"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0715E3CC" w14:textId="187F9CF8">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11</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BF5165" w14:paraId="7B8C7888" w14:textId="5264FB9F">
            <w:pPr>
              <w:spacing w:after="0" w:line="240" w:lineRule="auto"/>
              <w:rPr>
                <w:rFonts w:ascii="Calibri" w:hAnsi="Calibri" w:eastAsia="Times New Roman" w:cs="Calibri"/>
                <w:color w:val="000000"/>
                <w:sz w:val="18"/>
                <w:szCs w:val="18"/>
              </w:rPr>
            </w:pPr>
            <w:proofErr w:type="spellStart"/>
            <w:r w:rsidRPr="00892F2D">
              <w:rPr>
                <w:rFonts w:ascii="Calibri" w:hAnsi="Calibri" w:eastAsia="Times New Roman" w:cs="Calibri"/>
                <w:color w:val="000000"/>
                <w:sz w:val="18"/>
                <w:szCs w:val="18"/>
              </w:rPr>
              <w:t>Uluslararasi</w:t>
            </w:r>
            <w:proofErr w:type="spellEnd"/>
            <w:r w:rsidRPr="00892F2D">
              <w:rPr>
                <w:rFonts w:ascii="Calibri" w:hAnsi="Calibri" w:eastAsia="Times New Roman" w:cs="Calibri"/>
                <w:color w:val="000000"/>
                <w:sz w:val="18"/>
                <w:szCs w:val="18"/>
              </w:rPr>
              <w:t xml:space="preserve"> </w:t>
            </w:r>
            <w:proofErr w:type="spellStart"/>
            <w:r w:rsidRPr="00892F2D">
              <w:rPr>
                <w:rFonts w:ascii="Calibri" w:hAnsi="Calibri" w:eastAsia="Times New Roman" w:cs="Calibri"/>
                <w:color w:val="000000"/>
                <w:sz w:val="18"/>
                <w:szCs w:val="18"/>
              </w:rPr>
              <w:t>Insani</w:t>
            </w:r>
            <w:proofErr w:type="spellEnd"/>
            <w:r w:rsidRPr="00892F2D">
              <w:rPr>
                <w:rFonts w:ascii="Calibri" w:hAnsi="Calibri" w:eastAsia="Times New Roman" w:cs="Calibri"/>
                <w:color w:val="000000"/>
                <w:sz w:val="18"/>
                <w:szCs w:val="18"/>
              </w:rPr>
              <w:t xml:space="preserve"> </w:t>
            </w:r>
            <w:proofErr w:type="spellStart"/>
            <w:r w:rsidRPr="00892F2D">
              <w:rPr>
                <w:rFonts w:ascii="Calibri" w:hAnsi="Calibri" w:eastAsia="Times New Roman" w:cs="Calibri"/>
                <w:color w:val="000000"/>
                <w:sz w:val="18"/>
                <w:szCs w:val="18"/>
              </w:rPr>
              <w:t>Yardimlasma</w:t>
            </w:r>
            <w:proofErr w:type="spellEnd"/>
            <w:r w:rsidRPr="00892F2D">
              <w:rPr>
                <w:rFonts w:ascii="Calibri" w:hAnsi="Calibri" w:eastAsia="Times New Roman" w:cs="Calibri"/>
                <w:color w:val="000000"/>
                <w:sz w:val="18"/>
                <w:szCs w:val="18"/>
              </w:rPr>
              <w:t xml:space="preserve"> </w:t>
            </w:r>
            <w:proofErr w:type="spellStart"/>
            <w:r w:rsidRPr="00892F2D">
              <w:rPr>
                <w:rFonts w:ascii="Calibri" w:hAnsi="Calibri" w:eastAsia="Times New Roman" w:cs="Calibri"/>
                <w:color w:val="000000"/>
                <w:sz w:val="18"/>
                <w:szCs w:val="18"/>
              </w:rPr>
              <w:t>Dernegi</w:t>
            </w:r>
            <w:proofErr w:type="spellEnd"/>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56F8FF01"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8,863,099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295B9E1C"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25%</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3ACD5C5B"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60,123,663</w:t>
            </w:r>
          </w:p>
        </w:tc>
        <w:tc>
          <w:tcPr>
            <w:tcW w:w="1440" w:type="dxa"/>
            <w:tcBorders>
              <w:top w:val="nil"/>
              <w:left w:val="nil"/>
              <w:bottom w:val="single" w:color="auto" w:sz="4" w:space="0"/>
              <w:right w:val="single" w:color="auto" w:sz="4" w:space="0"/>
            </w:tcBorders>
            <w:shd w:val="clear" w:color="000000" w:fill="FFCCCC"/>
            <w:noWrap/>
            <w:vAlign w:val="bottom"/>
            <w:hideMark/>
          </w:tcPr>
          <w:p w:rsidRPr="00892F2D" w:rsidR="00BF5165" w:rsidP="00BF5165" w:rsidRDefault="00BF5165" w14:paraId="735CF422"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578%</w:t>
            </w:r>
          </w:p>
        </w:tc>
      </w:tr>
      <w:tr w:rsidRPr="00892F2D" w:rsidR="00BF5165" w:rsidTr="004C69E0" w14:paraId="13F06C4C"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7D2A294A" w14:textId="72B5A4D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12</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103EB8" w14:paraId="593A7682" w14:textId="190D35EC">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ACTED</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32E12DD2"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27,441,784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03A7ADE8"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131%</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52C73DE0"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57,603,252</w:t>
            </w:r>
          </w:p>
        </w:tc>
        <w:tc>
          <w:tcPr>
            <w:tcW w:w="1440" w:type="dxa"/>
            <w:tcBorders>
              <w:top w:val="nil"/>
              <w:left w:val="nil"/>
              <w:bottom w:val="single" w:color="auto" w:sz="4" w:space="0"/>
              <w:right w:val="single" w:color="auto" w:sz="4" w:space="0"/>
            </w:tcBorders>
            <w:shd w:val="clear" w:color="000000" w:fill="FFCCCC"/>
            <w:noWrap/>
            <w:vAlign w:val="bottom"/>
            <w:hideMark/>
          </w:tcPr>
          <w:p w:rsidRPr="00892F2D" w:rsidR="00BF5165" w:rsidP="00BF5165" w:rsidRDefault="00BF5165" w14:paraId="409D94BD"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110%</w:t>
            </w:r>
          </w:p>
        </w:tc>
      </w:tr>
      <w:tr w:rsidRPr="00892F2D" w:rsidR="00BF5165" w:rsidTr="004C69E0" w14:paraId="0CAFF2DD"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018301CC" w14:textId="3D81C8A3">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13</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BF5165" w14:paraId="09774A19" w14:textId="557EEE26">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People in Need</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4062542F"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25,194,207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17446445"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37%</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35C772B3"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55,147,715</w:t>
            </w:r>
          </w:p>
        </w:tc>
        <w:tc>
          <w:tcPr>
            <w:tcW w:w="1440" w:type="dxa"/>
            <w:tcBorders>
              <w:top w:val="nil"/>
              <w:left w:val="nil"/>
              <w:bottom w:val="single" w:color="auto" w:sz="4" w:space="0"/>
              <w:right w:val="single" w:color="auto" w:sz="4" w:space="0"/>
            </w:tcBorders>
            <w:shd w:val="clear" w:color="000000" w:fill="FFCCCC"/>
            <w:noWrap/>
            <w:vAlign w:val="bottom"/>
            <w:hideMark/>
          </w:tcPr>
          <w:p w:rsidRPr="00892F2D" w:rsidR="00BF5165" w:rsidP="00BF5165" w:rsidRDefault="00BF5165" w14:paraId="3F880961"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119%</w:t>
            </w:r>
          </w:p>
        </w:tc>
      </w:tr>
      <w:tr w:rsidRPr="00892F2D" w:rsidR="00BF5165" w:rsidTr="004C69E0" w14:paraId="5AA38980"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0D8F7C36" w14:textId="36FAEADC">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14</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BF5165" w14:paraId="5504B970" w14:textId="19E8A85B">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Qatar Charity</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314ADD86"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40,807,879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20211D5F"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12%</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31708820"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48,218,970</w:t>
            </w:r>
          </w:p>
        </w:tc>
        <w:tc>
          <w:tcPr>
            <w:tcW w:w="1440" w:type="dxa"/>
            <w:tcBorders>
              <w:top w:val="nil"/>
              <w:left w:val="nil"/>
              <w:bottom w:val="single" w:color="auto" w:sz="4" w:space="0"/>
              <w:right w:val="single" w:color="auto" w:sz="4" w:space="0"/>
            </w:tcBorders>
            <w:shd w:val="clear" w:color="000000" w:fill="C6E0B4"/>
            <w:noWrap/>
            <w:vAlign w:val="bottom"/>
            <w:hideMark/>
          </w:tcPr>
          <w:p w:rsidRPr="00892F2D" w:rsidR="00BF5165" w:rsidP="00BF5165" w:rsidRDefault="00BF5165" w14:paraId="4522F975"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18%</w:t>
            </w:r>
          </w:p>
        </w:tc>
      </w:tr>
      <w:tr w:rsidRPr="00892F2D" w:rsidR="00BF5165" w:rsidTr="004C69E0" w14:paraId="62E620A0"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200CF44B" w14:textId="5310C500">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15</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BF5165" w14:paraId="4EDED0C9" w14:textId="549CD7BB">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OXFAM GB</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54FC8E54"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23,308,702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77ED0826"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4%</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5B5E9FA0"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36,202,250</w:t>
            </w:r>
          </w:p>
        </w:tc>
        <w:tc>
          <w:tcPr>
            <w:tcW w:w="1440" w:type="dxa"/>
            <w:tcBorders>
              <w:top w:val="nil"/>
              <w:left w:val="nil"/>
              <w:bottom w:val="single" w:color="auto" w:sz="4" w:space="0"/>
              <w:right w:val="single" w:color="auto" w:sz="4" w:space="0"/>
            </w:tcBorders>
            <w:shd w:val="clear" w:color="000000" w:fill="FFCCCC"/>
            <w:noWrap/>
            <w:vAlign w:val="bottom"/>
            <w:hideMark/>
          </w:tcPr>
          <w:p w:rsidRPr="00892F2D" w:rsidR="00BF5165" w:rsidP="00BF5165" w:rsidRDefault="00BF5165" w14:paraId="581EA6D9"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55%</w:t>
            </w:r>
          </w:p>
        </w:tc>
      </w:tr>
      <w:tr w:rsidRPr="00892F2D" w:rsidR="00BF5165" w:rsidTr="004C69E0" w14:paraId="45930811"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4A1A48BA" w14:textId="45626AFD">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16</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BF5165" w14:paraId="317E9169" w14:textId="2C04AAD4">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Relief International</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CC4E03" w14:paraId="5F9D4993" w14:textId="5843D604">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 xml:space="preserve">                                          </w:t>
            </w:r>
            <w:r w:rsidRPr="00892F2D" w:rsidR="00BF5165">
              <w:rPr>
                <w:rFonts w:ascii="Calibri" w:hAnsi="Calibri" w:eastAsia="Times New Roman" w:cs="Calibri"/>
                <w:color w:val="000000"/>
                <w:sz w:val="18"/>
                <w:szCs w:val="18"/>
              </w:rPr>
              <w:t xml:space="preserve"> NA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301C83D7"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50FA971C"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33,287,230</w:t>
            </w:r>
          </w:p>
        </w:tc>
        <w:tc>
          <w:tcPr>
            <w:tcW w:w="1440" w:type="dxa"/>
            <w:tcBorders>
              <w:top w:val="nil"/>
              <w:left w:val="nil"/>
              <w:bottom w:val="single" w:color="auto" w:sz="4" w:space="0"/>
              <w:right w:val="single" w:color="auto" w:sz="4" w:space="0"/>
            </w:tcBorders>
            <w:shd w:val="clear" w:color="000000" w:fill="FFFFFF"/>
            <w:noWrap/>
            <w:vAlign w:val="bottom"/>
            <w:hideMark/>
          </w:tcPr>
          <w:p w:rsidRPr="00892F2D" w:rsidR="00BF5165" w:rsidP="00BF5165" w:rsidRDefault="00BF5165" w14:paraId="3883FC5E"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w:t>
            </w:r>
          </w:p>
        </w:tc>
      </w:tr>
      <w:tr w:rsidRPr="00892F2D" w:rsidR="00BF5165" w:rsidTr="004C69E0" w14:paraId="3A50606A"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53E01707" w14:textId="6BAF4B84">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17</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BF5165" w14:paraId="34A96073" w14:textId="6D64ECDF">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Syrian American Medical Society Foundation</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60E5E14F"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23,417,246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6E01831D"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117%</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4B0FF38F"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32,770,348</w:t>
            </w:r>
          </w:p>
        </w:tc>
        <w:tc>
          <w:tcPr>
            <w:tcW w:w="1440" w:type="dxa"/>
            <w:tcBorders>
              <w:top w:val="nil"/>
              <w:left w:val="nil"/>
              <w:bottom w:val="single" w:color="auto" w:sz="4" w:space="0"/>
              <w:right w:val="single" w:color="auto" w:sz="4" w:space="0"/>
            </w:tcBorders>
            <w:shd w:val="clear" w:color="000000" w:fill="FFF2CC"/>
            <w:noWrap/>
            <w:vAlign w:val="bottom"/>
            <w:hideMark/>
          </w:tcPr>
          <w:p w:rsidRPr="00892F2D" w:rsidR="00BF5165" w:rsidP="00BF5165" w:rsidRDefault="00BF5165" w14:paraId="3DFF90E3"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40%</w:t>
            </w:r>
          </w:p>
        </w:tc>
      </w:tr>
      <w:tr w:rsidRPr="00892F2D" w:rsidR="00BF5165" w:rsidTr="004C69E0" w14:paraId="5785BAC4"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7769798B" w14:textId="3EF0FE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18</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BF5165" w14:paraId="388F9B39" w14:textId="56E056A9">
            <w:pPr>
              <w:spacing w:after="0" w:line="240" w:lineRule="auto"/>
              <w:rPr>
                <w:rFonts w:ascii="Calibri" w:hAnsi="Calibri" w:eastAsia="Times New Roman" w:cs="Calibri"/>
                <w:color w:val="000000"/>
                <w:sz w:val="18"/>
                <w:szCs w:val="18"/>
              </w:rPr>
            </w:pPr>
            <w:proofErr w:type="spellStart"/>
            <w:r w:rsidRPr="00892F2D">
              <w:rPr>
                <w:rFonts w:ascii="Calibri" w:hAnsi="Calibri" w:eastAsia="Times New Roman" w:cs="Calibri"/>
                <w:color w:val="000000"/>
                <w:sz w:val="18"/>
                <w:szCs w:val="18"/>
              </w:rPr>
              <w:t>Shafak</w:t>
            </w:r>
            <w:proofErr w:type="spellEnd"/>
            <w:r w:rsidRPr="00892F2D">
              <w:rPr>
                <w:rFonts w:ascii="Calibri" w:hAnsi="Calibri" w:eastAsia="Times New Roman" w:cs="Calibri"/>
                <w:color w:val="000000"/>
                <w:sz w:val="18"/>
                <w:szCs w:val="18"/>
              </w:rPr>
              <w:t xml:space="preserve"> Organization</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7842B5F1"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27,669,825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324ACF65"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38%</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7B031E72"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31,870,186</w:t>
            </w:r>
          </w:p>
        </w:tc>
        <w:tc>
          <w:tcPr>
            <w:tcW w:w="1440" w:type="dxa"/>
            <w:tcBorders>
              <w:top w:val="nil"/>
              <w:left w:val="nil"/>
              <w:bottom w:val="single" w:color="auto" w:sz="4" w:space="0"/>
              <w:right w:val="single" w:color="auto" w:sz="4" w:space="0"/>
            </w:tcBorders>
            <w:shd w:val="clear" w:color="000000" w:fill="C6E0B4"/>
            <w:noWrap/>
            <w:vAlign w:val="bottom"/>
            <w:hideMark/>
          </w:tcPr>
          <w:p w:rsidRPr="00892F2D" w:rsidR="00BF5165" w:rsidP="00BF5165" w:rsidRDefault="00BF5165" w14:paraId="41B3E391"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15%</w:t>
            </w:r>
          </w:p>
        </w:tc>
      </w:tr>
      <w:tr w:rsidRPr="00892F2D" w:rsidR="00BF5165" w:rsidTr="004C69E0" w14:paraId="121AB805"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60120C2C" w14:textId="3E5EEA48">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19</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BF5165" w14:paraId="405AD861" w14:textId="2468B5C5">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Save the Children</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782BDFA5"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33,289,136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462FB80C"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75%</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2FB48EFC"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30,737,776</w:t>
            </w:r>
          </w:p>
        </w:tc>
        <w:tc>
          <w:tcPr>
            <w:tcW w:w="1440" w:type="dxa"/>
            <w:tcBorders>
              <w:top w:val="nil"/>
              <w:left w:val="nil"/>
              <w:bottom w:val="single" w:color="auto" w:sz="4" w:space="0"/>
              <w:right w:val="single" w:color="auto" w:sz="4" w:space="0"/>
            </w:tcBorders>
            <w:shd w:val="clear" w:color="000000" w:fill="C6E0B4"/>
            <w:noWrap/>
            <w:vAlign w:val="bottom"/>
            <w:hideMark/>
          </w:tcPr>
          <w:p w:rsidRPr="00892F2D" w:rsidR="00BF5165" w:rsidP="00BF5165" w:rsidRDefault="00BF5165" w14:paraId="3CDE1F3B"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-8%</w:t>
            </w:r>
          </w:p>
        </w:tc>
      </w:tr>
      <w:tr w:rsidRPr="00892F2D" w:rsidR="00BF5165" w:rsidTr="004C69E0" w14:paraId="71AB5821" w14:textId="77777777">
        <w:trPr>
          <w:trHeight w:val="288"/>
        </w:trPr>
        <w:tc>
          <w:tcPr>
            <w:tcW w:w="673" w:type="dxa"/>
            <w:tcBorders>
              <w:top w:val="nil"/>
              <w:left w:val="single" w:color="auto" w:sz="4" w:space="0"/>
              <w:bottom w:val="single" w:color="auto" w:sz="4" w:space="0"/>
              <w:right w:val="single" w:color="auto" w:sz="4" w:space="0"/>
            </w:tcBorders>
            <w:vAlign w:val="bottom"/>
          </w:tcPr>
          <w:p w:rsidRPr="00E43AD2" w:rsidR="00BF5165" w:rsidP="00BF5165" w:rsidRDefault="00BF5165" w14:paraId="0D51180E" w14:textId="5A4E97D5">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20</w:t>
            </w:r>
          </w:p>
        </w:tc>
        <w:tc>
          <w:tcPr>
            <w:tcW w:w="2112" w:type="dxa"/>
            <w:tcBorders>
              <w:top w:val="nil"/>
              <w:left w:val="single" w:color="auto" w:sz="4" w:space="0"/>
              <w:bottom w:val="single" w:color="auto" w:sz="4" w:space="0"/>
              <w:right w:val="single" w:color="auto" w:sz="4" w:space="0"/>
            </w:tcBorders>
            <w:shd w:val="clear" w:color="auto" w:fill="auto"/>
            <w:noWrap/>
            <w:vAlign w:val="bottom"/>
            <w:hideMark/>
          </w:tcPr>
          <w:p w:rsidRPr="00892F2D" w:rsidR="00BF5165" w:rsidP="00BF5165" w:rsidRDefault="009F6FAF" w14:paraId="26124DFE" w14:textId="744154CA">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UNMAS</w:t>
            </w:r>
          </w:p>
        </w:tc>
        <w:tc>
          <w:tcPr>
            <w:tcW w:w="225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2746C944" w14:textId="77777777">
            <w:pPr>
              <w:spacing w:after="0" w:line="240" w:lineRule="auto"/>
              <w:rPr>
                <w:rFonts w:ascii="Calibri" w:hAnsi="Calibri" w:eastAsia="Times New Roman" w:cs="Calibri"/>
                <w:color w:val="000000"/>
                <w:sz w:val="18"/>
                <w:szCs w:val="18"/>
              </w:rPr>
            </w:pPr>
            <w:r w:rsidRPr="00892F2D">
              <w:rPr>
                <w:rFonts w:ascii="Calibri" w:hAnsi="Calibri" w:eastAsia="Times New Roman" w:cs="Calibri"/>
                <w:color w:val="000000"/>
                <w:sz w:val="18"/>
                <w:szCs w:val="18"/>
              </w:rPr>
              <w:t xml:space="preserve">                             20,000,000 </w:t>
            </w:r>
          </w:p>
        </w:tc>
        <w:tc>
          <w:tcPr>
            <w:tcW w:w="1620" w:type="dxa"/>
            <w:tcBorders>
              <w:top w:val="nil"/>
              <w:left w:val="nil"/>
              <w:bottom w:val="single" w:color="auto" w:sz="4" w:space="0"/>
              <w:right w:val="single" w:color="auto" w:sz="4" w:space="0"/>
            </w:tcBorders>
            <w:shd w:val="clear" w:color="auto" w:fill="auto"/>
            <w:noWrap/>
            <w:vAlign w:val="bottom"/>
            <w:hideMark/>
          </w:tcPr>
          <w:p w:rsidRPr="00892F2D" w:rsidR="00BF5165" w:rsidP="00BF5165" w:rsidRDefault="00BF5165" w14:paraId="61A3EDD3"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30%</w:t>
            </w:r>
          </w:p>
        </w:tc>
        <w:tc>
          <w:tcPr>
            <w:tcW w:w="1800" w:type="dxa"/>
            <w:tcBorders>
              <w:top w:val="nil"/>
              <w:left w:val="nil"/>
              <w:bottom w:val="single" w:color="auto" w:sz="4" w:space="0"/>
              <w:right w:val="single" w:color="auto" w:sz="4" w:space="0"/>
            </w:tcBorders>
            <w:shd w:val="clear" w:color="auto" w:fill="auto"/>
            <w:noWrap/>
            <w:vAlign w:val="bottom"/>
            <w:hideMark/>
          </w:tcPr>
          <w:p w:rsidRPr="004500C0" w:rsidR="00BF5165" w:rsidP="00BF5165" w:rsidRDefault="00BF5165" w14:paraId="68E7935D" w14:textId="77777777">
            <w:pPr>
              <w:spacing w:after="0" w:line="240" w:lineRule="auto"/>
              <w:jc w:val="right"/>
              <w:rPr>
                <w:rFonts w:ascii="Calibri" w:hAnsi="Calibri" w:eastAsia="Times New Roman" w:cs="Calibri"/>
                <w:b/>
                <w:color w:val="000000"/>
                <w:sz w:val="18"/>
                <w:szCs w:val="18"/>
              </w:rPr>
            </w:pPr>
            <w:r w:rsidRPr="004500C0">
              <w:rPr>
                <w:rFonts w:ascii="Calibri" w:hAnsi="Calibri" w:eastAsia="Times New Roman" w:cs="Calibri"/>
                <w:b/>
                <w:color w:val="000000"/>
                <w:sz w:val="18"/>
                <w:szCs w:val="18"/>
              </w:rPr>
              <w:t>30,000,000</w:t>
            </w:r>
          </w:p>
        </w:tc>
        <w:tc>
          <w:tcPr>
            <w:tcW w:w="1440" w:type="dxa"/>
            <w:tcBorders>
              <w:top w:val="nil"/>
              <w:left w:val="nil"/>
              <w:bottom w:val="single" w:color="auto" w:sz="4" w:space="0"/>
              <w:right w:val="single" w:color="auto" w:sz="4" w:space="0"/>
            </w:tcBorders>
            <w:shd w:val="clear" w:color="000000" w:fill="FFF2CC"/>
            <w:noWrap/>
            <w:vAlign w:val="bottom"/>
            <w:hideMark/>
          </w:tcPr>
          <w:p w:rsidRPr="00892F2D" w:rsidR="00BF5165" w:rsidP="00BF5165" w:rsidRDefault="00BF5165" w14:paraId="170D3D37" w14:textId="77777777">
            <w:pPr>
              <w:spacing w:after="0" w:line="240" w:lineRule="auto"/>
              <w:jc w:val="right"/>
              <w:rPr>
                <w:rFonts w:ascii="Calibri" w:hAnsi="Calibri" w:eastAsia="Times New Roman" w:cs="Calibri"/>
                <w:color w:val="000000"/>
                <w:sz w:val="18"/>
                <w:szCs w:val="18"/>
              </w:rPr>
            </w:pPr>
            <w:r w:rsidRPr="00892F2D">
              <w:rPr>
                <w:rFonts w:ascii="Calibri" w:hAnsi="Calibri" w:eastAsia="Times New Roman" w:cs="Calibri"/>
                <w:color w:val="000000"/>
                <w:sz w:val="18"/>
                <w:szCs w:val="18"/>
              </w:rPr>
              <w:t>50%</w:t>
            </w:r>
          </w:p>
        </w:tc>
      </w:tr>
    </w:tbl>
    <w:p w:rsidR="00892F2D" w:rsidP="00EA1163" w:rsidRDefault="00892F2D" w14:paraId="0BB8DDF5" w14:textId="77777777">
      <w:pPr>
        <w:spacing w:after="60" w:line="240" w:lineRule="auto"/>
        <w:ind w:left="86"/>
        <w:rPr>
          <w:rFonts w:eastAsia="Calibri"/>
          <w:i/>
          <w:iCs/>
          <w:sz w:val="19"/>
          <w:szCs w:val="19"/>
          <w:lang w:val="en-GB"/>
        </w:rPr>
      </w:pPr>
    </w:p>
    <w:p w:rsidR="00664AC3" w:rsidP="00EA1163" w:rsidRDefault="00664AC3" w14:paraId="5497D0CE" w14:textId="2CF410E6">
      <w:pPr>
        <w:spacing w:after="60" w:line="240" w:lineRule="auto"/>
        <w:ind w:left="86"/>
        <w:rPr>
          <w:rFonts w:eastAsia="Calibri"/>
          <w:i/>
          <w:iCs/>
          <w:sz w:val="19"/>
          <w:szCs w:val="19"/>
          <w:lang w:val="en-GB"/>
        </w:rPr>
      </w:pPr>
      <w:r>
        <w:rPr>
          <w:rFonts w:eastAsia="Calibri"/>
          <w:i/>
          <w:iCs/>
          <w:sz w:val="19"/>
          <w:szCs w:val="19"/>
          <w:lang w:val="en-GB"/>
        </w:rPr>
        <w:t xml:space="preserve">HRP participation and </w:t>
      </w:r>
      <w:r w:rsidR="00C65F2C">
        <w:rPr>
          <w:rFonts w:eastAsia="Calibri"/>
          <w:i/>
          <w:iCs/>
          <w:sz w:val="19"/>
          <w:szCs w:val="19"/>
          <w:lang w:val="en-GB"/>
        </w:rPr>
        <w:t xml:space="preserve">estimated </w:t>
      </w:r>
      <w:r>
        <w:rPr>
          <w:rFonts w:eastAsia="Calibri"/>
          <w:i/>
          <w:iCs/>
          <w:sz w:val="19"/>
          <w:szCs w:val="19"/>
          <w:lang w:val="en-GB"/>
        </w:rPr>
        <w:t xml:space="preserve">requirements </w:t>
      </w:r>
      <w:r w:rsidRPr="00664AC3" w:rsidR="00CC0C01">
        <w:rPr>
          <w:rFonts w:eastAsia="Calibri"/>
          <w:i/>
          <w:iCs/>
          <w:sz w:val="19"/>
          <w:szCs w:val="19"/>
          <w:lang w:val="en-GB"/>
        </w:rPr>
        <w:t xml:space="preserve">by </w:t>
      </w:r>
      <w:r>
        <w:rPr>
          <w:rFonts w:eastAsia="Calibri"/>
          <w:i/>
          <w:iCs/>
          <w:sz w:val="19"/>
          <w:szCs w:val="19"/>
          <w:lang w:val="en-GB"/>
        </w:rPr>
        <w:t>operational area</w:t>
      </w:r>
      <w:r w:rsidR="00C65F2C">
        <w:rPr>
          <w:rFonts w:eastAsia="Calibri"/>
          <w:i/>
          <w:iCs/>
          <w:sz w:val="19"/>
          <w:szCs w:val="19"/>
          <w:lang w:val="en-GB"/>
        </w:rPr>
        <w:t xml:space="preserve"> / </w:t>
      </w:r>
      <w:proofErr w:type="spellStart"/>
      <w:r w:rsidR="00C65F2C">
        <w:rPr>
          <w:rFonts w:eastAsia="Calibri"/>
          <w:i/>
          <w:iCs/>
          <w:sz w:val="19"/>
          <w:szCs w:val="19"/>
          <w:lang w:val="en-GB"/>
        </w:rPr>
        <w:t>AoI</w:t>
      </w:r>
      <w:proofErr w:type="spellEnd"/>
      <w:r>
        <w:rPr>
          <w:rFonts w:eastAsia="Calibri"/>
          <w:i/>
          <w:iCs/>
          <w:sz w:val="19"/>
          <w:szCs w:val="19"/>
          <w:lang w:val="en-GB"/>
        </w:rPr>
        <w:t>:</w:t>
      </w:r>
    </w:p>
    <w:p w:rsidR="00664AC3" w:rsidP="00664AC3" w:rsidRDefault="00664AC3" w14:paraId="616BA381" w14:textId="28946381">
      <w:pPr>
        <w:pStyle w:val="ListParagraph"/>
        <w:numPr>
          <w:ilvl w:val="0"/>
          <w:numId w:val="1"/>
        </w:numPr>
        <w:spacing w:after="60"/>
        <w:ind w:left="446"/>
        <w:rPr>
          <w:rFonts w:eastAsia="Calibri"/>
          <w:sz w:val="19"/>
          <w:szCs w:val="19"/>
          <w:lang w:val="en-GB"/>
        </w:rPr>
      </w:pPr>
      <w:r w:rsidRPr="00664AC3">
        <w:rPr>
          <w:rFonts w:eastAsia="Calibri"/>
          <w:b/>
          <w:bCs/>
          <w:sz w:val="19"/>
          <w:szCs w:val="19"/>
          <w:lang w:val="en-GB"/>
        </w:rPr>
        <w:t>152 organizations</w:t>
      </w:r>
      <w:r w:rsidRPr="0094144D">
        <w:rPr>
          <w:rFonts w:eastAsia="Calibri"/>
          <w:sz w:val="19"/>
          <w:szCs w:val="19"/>
          <w:lang w:val="en-GB"/>
        </w:rPr>
        <w:t xml:space="preserve"> par</w:t>
      </w:r>
      <w:r>
        <w:rPr>
          <w:rFonts w:eastAsia="Calibri"/>
          <w:sz w:val="19"/>
          <w:szCs w:val="19"/>
          <w:lang w:val="en-GB"/>
        </w:rPr>
        <w:t>ticipate</w:t>
      </w:r>
      <w:r w:rsidRPr="0094144D">
        <w:rPr>
          <w:rFonts w:eastAsia="Calibri"/>
          <w:sz w:val="19"/>
          <w:szCs w:val="19"/>
          <w:lang w:val="en-GB"/>
        </w:rPr>
        <w:t xml:space="preserve"> in</w:t>
      </w:r>
      <w:r>
        <w:rPr>
          <w:rFonts w:eastAsia="Calibri"/>
          <w:sz w:val="19"/>
          <w:szCs w:val="19"/>
          <w:lang w:val="en-GB"/>
        </w:rPr>
        <w:t xml:space="preserve"> the</w:t>
      </w:r>
      <w:r w:rsidRPr="0094144D">
        <w:rPr>
          <w:rFonts w:eastAsia="Calibri"/>
          <w:sz w:val="19"/>
          <w:szCs w:val="19"/>
          <w:lang w:val="en-GB"/>
        </w:rPr>
        <w:t xml:space="preserve"> 2021 HRP</w:t>
      </w:r>
      <w:r>
        <w:rPr>
          <w:rFonts w:eastAsia="Calibri"/>
          <w:sz w:val="19"/>
          <w:szCs w:val="19"/>
          <w:lang w:val="en-GB"/>
        </w:rPr>
        <w:t xml:space="preserve">, </w:t>
      </w:r>
      <w:proofErr w:type="gramStart"/>
      <w:r>
        <w:rPr>
          <w:rFonts w:eastAsia="Calibri"/>
          <w:sz w:val="19"/>
          <w:szCs w:val="19"/>
          <w:lang w:val="en-GB"/>
        </w:rPr>
        <w:t>similar to</w:t>
      </w:r>
      <w:proofErr w:type="gramEnd"/>
      <w:r>
        <w:rPr>
          <w:rFonts w:eastAsia="Calibri"/>
          <w:sz w:val="19"/>
          <w:szCs w:val="19"/>
          <w:lang w:val="en-GB"/>
        </w:rPr>
        <w:t xml:space="preserve"> 2020 (160), through a total of </w:t>
      </w:r>
      <w:r w:rsidRPr="00664AC3">
        <w:rPr>
          <w:rFonts w:eastAsia="Calibri"/>
          <w:b/>
          <w:bCs/>
          <w:sz w:val="19"/>
          <w:szCs w:val="19"/>
          <w:lang w:val="en-GB"/>
        </w:rPr>
        <w:t>646 projects</w:t>
      </w:r>
      <w:r>
        <w:rPr>
          <w:rFonts w:eastAsia="Calibri"/>
          <w:sz w:val="19"/>
          <w:szCs w:val="19"/>
          <w:lang w:val="en-GB"/>
        </w:rPr>
        <w:t xml:space="preserve"> (689 in 2020). </w:t>
      </w:r>
    </w:p>
    <w:p w:rsidRPr="0025510F" w:rsidR="0025510F" w:rsidP="00B843C4" w:rsidRDefault="003B3E58" w14:paraId="596957B6" w14:textId="46716ED3">
      <w:pPr>
        <w:pStyle w:val="ListParagraph"/>
        <w:numPr>
          <w:ilvl w:val="0"/>
          <w:numId w:val="1"/>
        </w:numPr>
        <w:spacing w:after="60"/>
        <w:ind w:left="446"/>
        <w:rPr>
          <w:rFonts w:eastAsia="Calibri"/>
          <w:i/>
          <w:iCs/>
          <w:sz w:val="19"/>
          <w:szCs w:val="19"/>
          <w:lang w:val="en-GB"/>
        </w:rPr>
      </w:pPr>
      <w:r w:rsidRPr="004500C0">
        <w:rPr>
          <w:rFonts w:eastAsia="Calibri"/>
          <w:b/>
          <w:sz w:val="19"/>
          <w:szCs w:val="19"/>
          <w:lang w:val="en-GB"/>
        </w:rPr>
        <w:t>62%</w:t>
      </w:r>
      <w:r w:rsidRPr="00D73C5D">
        <w:rPr>
          <w:rFonts w:eastAsia="Calibri"/>
          <w:sz w:val="19"/>
          <w:szCs w:val="19"/>
          <w:lang w:val="en-GB"/>
        </w:rPr>
        <w:t xml:space="preserve"> of the HRP’s funding requirements are presented through </w:t>
      </w:r>
      <w:r w:rsidRPr="004500C0" w:rsidR="00AD21FE">
        <w:rPr>
          <w:rFonts w:eastAsia="Calibri"/>
          <w:b/>
          <w:sz w:val="19"/>
          <w:szCs w:val="19"/>
          <w:lang w:val="en-GB"/>
        </w:rPr>
        <w:t>‘</w:t>
      </w:r>
      <w:proofErr w:type="spellStart"/>
      <w:r w:rsidRPr="004500C0">
        <w:rPr>
          <w:rFonts w:eastAsia="Calibri"/>
          <w:b/>
          <w:sz w:val="19"/>
          <w:szCs w:val="19"/>
          <w:lang w:val="en-GB"/>
        </w:rPr>
        <w:t>WoS</w:t>
      </w:r>
      <w:proofErr w:type="spellEnd"/>
      <w:r w:rsidRPr="004500C0">
        <w:rPr>
          <w:rFonts w:eastAsia="Calibri"/>
          <w:b/>
          <w:sz w:val="19"/>
          <w:szCs w:val="19"/>
          <w:lang w:val="en-GB"/>
        </w:rPr>
        <w:t xml:space="preserve"> projects</w:t>
      </w:r>
      <w:r w:rsidRPr="004500C0" w:rsidR="00AD21FE">
        <w:rPr>
          <w:rFonts w:eastAsia="Calibri"/>
          <w:b/>
          <w:sz w:val="19"/>
          <w:szCs w:val="19"/>
          <w:lang w:val="en-GB"/>
        </w:rPr>
        <w:t>’</w:t>
      </w:r>
      <w:r w:rsidRPr="004500C0">
        <w:rPr>
          <w:rFonts w:eastAsia="Calibri"/>
          <w:b/>
          <w:sz w:val="19"/>
          <w:szCs w:val="19"/>
          <w:lang w:val="en-GB"/>
        </w:rPr>
        <w:t xml:space="preserve">, </w:t>
      </w:r>
      <w:r w:rsidRPr="00D73C5D">
        <w:rPr>
          <w:rFonts w:eastAsia="Calibri"/>
          <w:sz w:val="19"/>
          <w:szCs w:val="19"/>
          <w:lang w:val="en-GB"/>
        </w:rPr>
        <w:t>mainly by UN Sector Le</w:t>
      </w:r>
      <w:r w:rsidRPr="00D73C5D" w:rsidR="00AD21FE">
        <w:rPr>
          <w:rFonts w:eastAsia="Calibri"/>
          <w:sz w:val="19"/>
          <w:szCs w:val="19"/>
          <w:lang w:val="en-GB"/>
        </w:rPr>
        <w:t xml:space="preserve">ad Agencies </w:t>
      </w:r>
      <w:r w:rsidR="0025510F">
        <w:rPr>
          <w:rFonts w:eastAsia="Calibri"/>
          <w:sz w:val="19"/>
          <w:szCs w:val="19"/>
          <w:lang w:val="en-GB"/>
        </w:rPr>
        <w:t>(similar ratio as in 2020)</w:t>
      </w:r>
      <w:r w:rsidRPr="00D73C5D" w:rsidR="00AD21FE">
        <w:rPr>
          <w:rFonts w:eastAsia="Calibri"/>
          <w:sz w:val="19"/>
          <w:szCs w:val="19"/>
          <w:lang w:val="en-GB"/>
        </w:rPr>
        <w:t xml:space="preserve">. </w:t>
      </w:r>
      <w:r w:rsidR="00D73C5D">
        <w:rPr>
          <w:rFonts w:eastAsia="Calibri"/>
          <w:sz w:val="19"/>
          <w:szCs w:val="19"/>
          <w:lang w:val="en-GB"/>
        </w:rPr>
        <w:t xml:space="preserve">This </w:t>
      </w:r>
      <w:r w:rsidRPr="00D73C5D" w:rsidR="00AD21FE">
        <w:rPr>
          <w:rFonts w:eastAsia="Calibri"/>
          <w:sz w:val="19"/>
          <w:szCs w:val="19"/>
          <w:lang w:val="en-GB"/>
        </w:rPr>
        <w:t>renders any reliable estimation of financial requirements by AOI impossible</w:t>
      </w:r>
      <w:r w:rsidR="00B843C4">
        <w:rPr>
          <w:rFonts w:eastAsia="Calibri"/>
          <w:sz w:val="19"/>
          <w:szCs w:val="19"/>
          <w:lang w:val="en-GB"/>
        </w:rPr>
        <w:t xml:space="preserve">, as </w:t>
      </w:r>
      <w:proofErr w:type="spellStart"/>
      <w:r w:rsidR="00B843C4">
        <w:rPr>
          <w:rFonts w:eastAsia="Calibri"/>
          <w:sz w:val="19"/>
          <w:szCs w:val="19"/>
          <w:lang w:val="en-GB"/>
        </w:rPr>
        <w:t>WoS</w:t>
      </w:r>
      <w:proofErr w:type="spellEnd"/>
      <w:r w:rsidR="00B843C4">
        <w:rPr>
          <w:rFonts w:eastAsia="Calibri"/>
          <w:sz w:val="19"/>
          <w:szCs w:val="19"/>
          <w:lang w:val="en-GB"/>
        </w:rPr>
        <w:t xml:space="preserve"> projects foresee </w:t>
      </w:r>
      <w:r w:rsidRPr="00D73C5D" w:rsidR="00B843C4">
        <w:rPr>
          <w:rFonts w:eastAsia="Calibri"/>
          <w:sz w:val="19"/>
          <w:szCs w:val="19"/>
          <w:lang w:val="en-GB"/>
        </w:rPr>
        <w:t>implementation in all areas of Syria</w:t>
      </w:r>
      <w:r w:rsidR="00B843C4">
        <w:rPr>
          <w:rFonts w:eastAsia="Calibri"/>
          <w:sz w:val="19"/>
          <w:szCs w:val="19"/>
          <w:lang w:val="en-GB"/>
        </w:rPr>
        <w:t>.</w:t>
      </w:r>
    </w:p>
    <w:p w:rsidRPr="0025510F" w:rsidR="00D73C5D" w:rsidP="00B843C4" w:rsidRDefault="00D73C5D" w14:paraId="4AAC3E4D" w14:textId="23CEC1A0">
      <w:pPr>
        <w:pStyle w:val="ListParagraph"/>
        <w:numPr>
          <w:ilvl w:val="0"/>
          <w:numId w:val="1"/>
        </w:numPr>
        <w:spacing w:after="60"/>
        <w:ind w:left="446"/>
        <w:rPr>
          <w:rFonts w:eastAsia="Calibri"/>
          <w:i/>
          <w:iCs/>
          <w:sz w:val="19"/>
          <w:szCs w:val="19"/>
          <w:lang w:val="en-GB"/>
        </w:rPr>
      </w:pPr>
      <w:r w:rsidRPr="00D73C5D">
        <w:rPr>
          <w:rFonts w:eastAsia="Calibri"/>
          <w:sz w:val="19"/>
          <w:szCs w:val="19"/>
          <w:lang w:val="en-GB"/>
        </w:rPr>
        <w:t xml:space="preserve">An estimation of </w:t>
      </w:r>
      <w:r w:rsidRPr="004500C0">
        <w:rPr>
          <w:rFonts w:eastAsia="Calibri"/>
          <w:b/>
          <w:sz w:val="19"/>
          <w:szCs w:val="19"/>
          <w:lang w:val="en-GB"/>
        </w:rPr>
        <w:t xml:space="preserve">requirements for organizations that will implement projects </w:t>
      </w:r>
      <w:r w:rsidRPr="004500C0" w:rsidR="00B843C4">
        <w:rPr>
          <w:rFonts w:eastAsia="Calibri"/>
          <w:b/>
          <w:sz w:val="19"/>
          <w:szCs w:val="19"/>
          <w:lang w:val="en-GB"/>
        </w:rPr>
        <w:t xml:space="preserve">in </w:t>
      </w:r>
      <w:r w:rsidRPr="004500C0">
        <w:rPr>
          <w:rFonts w:eastAsia="Calibri"/>
          <w:b/>
          <w:sz w:val="19"/>
          <w:szCs w:val="19"/>
          <w:lang w:val="en-GB"/>
        </w:rPr>
        <w:t xml:space="preserve">only one </w:t>
      </w:r>
      <w:proofErr w:type="spellStart"/>
      <w:r w:rsidRPr="004500C0">
        <w:rPr>
          <w:rFonts w:eastAsia="Calibri"/>
          <w:b/>
          <w:sz w:val="19"/>
          <w:szCs w:val="19"/>
          <w:lang w:val="en-GB"/>
        </w:rPr>
        <w:t>AoI</w:t>
      </w:r>
      <w:proofErr w:type="spellEnd"/>
      <w:r w:rsidRPr="00D73C5D">
        <w:rPr>
          <w:rFonts w:eastAsia="Calibri"/>
          <w:sz w:val="19"/>
          <w:szCs w:val="19"/>
          <w:lang w:val="en-GB"/>
        </w:rPr>
        <w:t xml:space="preserve"> is included below</w:t>
      </w:r>
      <w:r w:rsidR="0025510F">
        <w:rPr>
          <w:rFonts w:eastAsia="Calibri"/>
          <w:sz w:val="19"/>
          <w:szCs w:val="19"/>
          <w:lang w:val="en-GB"/>
        </w:rPr>
        <w:t xml:space="preserve">: </w:t>
      </w:r>
      <w:r w:rsidRPr="0025510F">
        <w:rPr>
          <w:rFonts w:eastAsia="Calibri"/>
          <w:sz w:val="19"/>
          <w:szCs w:val="19"/>
          <w:lang w:val="en-GB"/>
        </w:rPr>
        <w:t>Compared to 2020,</w:t>
      </w:r>
      <w:r w:rsidRPr="0025510F" w:rsidR="0025510F">
        <w:rPr>
          <w:rFonts w:eastAsia="Calibri"/>
          <w:sz w:val="19"/>
          <w:szCs w:val="19"/>
          <w:lang w:val="en-GB"/>
        </w:rPr>
        <w:t xml:space="preserve"> project and </w:t>
      </w:r>
      <w:r w:rsidR="00B843C4">
        <w:rPr>
          <w:rFonts w:eastAsia="Calibri"/>
          <w:sz w:val="19"/>
          <w:szCs w:val="19"/>
          <w:lang w:val="en-GB"/>
        </w:rPr>
        <w:t>financial</w:t>
      </w:r>
      <w:r w:rsidRPr="0025510F" w:rsidR="0025510F">
        <w:rPr>
          <w:rFonts w:eastAsia="Calibri"/>
          <w:sz w:val="19"/>
          <w:szCs w:val="19"/>
          <w:lang w:val="en-GB"/>
        </w:rPr>
        <w:t xml:space="preserve"> requirement registration by NES NGOs have increased significantly (+157% increase), likely due to ‘under-registration’ </w:t>
      </w:r>
      <w:r w:rsidR="0025510F">
        <w:rPr>
          <w:rFonts w:eastAsia="Calibri"/>
          <w:sz w:val="19"/>
          <w:szCs w:val="19"/>
          <w:lang w:val="en-GB"/>
        </w:rPr>
        <w:t xml:space="preserve">of NES NGOs in the </w:t>
      </w:r>
      <w:r w:rsidRPr="0025510F" w:rsidR="0025510F">
        <w:rPr>
          <w:rFonts w:eastAsia="Calibri"/>
          <w:sz w:val="19"/>
          <w:szCs w:val="19"/>
          <w:lang w:val="en-GB"/>
        </w:rPr>
        <w:t>2020</w:t>
      </w:r>
      <w:r w:rsidR="0025510F">
        <w:rPr>
          <w:rFonts w:eastAsia="Calibri"/>
          <w:sz w:val="19"/>
          <w:szCs w:val="19"/>
          <w:lang w:val="en-GB"/>
        </w:rPr>
        <w:t xml:space="preserve"> HRP</w:t>
      </w:r>
      <w:r w:rsidRPr="0025510F" w:rsidR="0025510F">
        <w:rPr>
          <w:rFonts w:eastAsia="Calibri"/>
          <w:sz w:val="19"/>
          <w:szCs w:val="19"/>
          <w:lang w:val="en-GB"/>
        </w:rPr>
        <w:t>. The ask for projects to be implemented cross-border</w:t>
      </w:r>
      <w:r w:rsidR="0025510F">
        <w:rPr>
          <w:rFonts w:eastAsia="Calibri"/>
          <w:sz w:val="19"/>
          <w:szCs w:val="19"/>
          <w:lang w:val="en-GB"/>
        </w:rPr>
        <w:t xml:space="preserve"> / in NWS has also seen an important increase (+23%). </w:t>
      </w:r>
    </w:p>
    <w:p w:rsidR="00B843C4" w:rsidP="00EA1163" w:rsidRDefault="00F70FC4" w14:paraId="0511542B" w14:textId="63E9B52C">
      <w:pPr>
        <w:spacing w:after="60" w:line="240" w:lineRule="auto"/>
        <w:jc w:val="center"/>
        <w:rPr>
          <w:rFonts w:eastAsia="Calibri"/>
          <w:sz w:val="19"/>
          <w:szCs w:val="19"/>
          <w:lang w:val="en-GB"/>
        </w:rPr>
      </w:pPr>
      <w:r w:rsidRPr="00F70FC4">
        <w:rPr>
          <w:noProof/>
        </w:rPr>
        <w:drawing>
          <wp:inline distT="0" distB="0" distL="0" distR="0" wp14:anchorId="49AD1E02" wp14:editId="65EF3967">
            <wp:extent cx="5112327" cy="14529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3616" cy="1456186"/>
                    </a:xfrm>
                    <a:prstGeom prst="rect">
                      <a:avLst/>
                    </a:prstGeom>
                    <a:noFill/>
                    <a:ln>
                      <a:noFill/>
                    </a:ln>
                  </pic:spPr>
                </pic:pic>
              </a:graphicData>
            </a:graphic>
          </wp:inline>
        </w:drawing>
      </w:r>
    </w:p>
    <w:p w:rsidR="00B843C4" w:rsidP="00EA1163" w:rsidRDefault="00B843C4" w14:paraId="3D6794FD" w14:textId="49CB7431">
      <w:pPr>
        <w:spacing w:after="60" w:line="240" w:lineRule="auto"/>
        <w:rPr>
          <w:rFonts w:eastAsia="Calibri"/>
          <w:sz w:val="19"/>
          <w:szCs w:val="19"/>
          <w:lang w:val="en-GB"/>
        </w:rPr>
      </w:pPr>
    </w:p>
    <w:p w:rsidR="00664AC3" w:rsidP="00E124AB" w:rsidRDefault="0025510F" w14:paraId="2F525737" w14:textId="0FEF9A4D">
      <w:pPr>
        <w:pStyle w:val="ListParagraph"/>
        <w:numPr>
          <w:ilvl w:val="0"/>
          <w:numId w:val="1"/>
        </w:numPr>
        <w:spacing w:after="60"/>
        <w:ind w:left="446"/>
        <w:rPr>
          <w:rFonts w:eastAsia="Calibri"/>
          <w:sz w:val="19"/>
          <w:szCs w:val="19"/>
          <w:lang w:val="en-GB"/>
        </w:rPr>
      </w:pPr>
      <w:r>
        <w:rPr>
          <w:rFonts w:eastAsia="Calibri"/>
          <w:sz w:val="19"/>
          <w:szCs w:val="19"/>
          <w:lang w:val="en-GB"/>
        </w:rPr>
        <w:t xml:space="preserve">The </w:t>
      </w:r>
      <w:r w:rsidR="00B843C4">
        <w:rPr>
          <w:rFonts w:eastAsia="Calibri"/>
          <w:sz w:val="19"/>
          <w:szCs w:val="19"/>
          <w:lang w:val="en-GB"/>
        </w:rPr>
        <w:t>number</w:t>
      </w:r>
      <w:r>
        <w:rPr>
          <w:rFonts w:eastAsia="Calibri"/>
          <w:sz w:val="19"/>
          <w:szCs w:val="19"/>
          <w:lang w:val="en-GB"/>
        </w:rPr>
        <w:t xml:space="preserve"> of </w:t>
      </w:r>
      <w:r w:rsidRPr="00712068" w:rsidR="00B843C4">
        <w:rPr>
          <w:rFonts w:eastAsia="Calibri"/>
          <w:b/>
          <w:sz w:val="19"/>
          <w:szCs w:val="19"/>
          <w:lang w:val="en-GB"/>
        </w:rPr>
        <w:t>registered HRP project partners</w:t>
      </w:r>
      <w:r w:rsidR="00B843C4">
        <w:rPr>
          <w:rFonts w:eastAsia="Calibri"/>
          <w:sz w:val="19"/>
          <w:szCs w:val="19"/>
          <w:lang w:val="en-GB"/>
        </w:rPr>
        <w:t xml:space="preserve"> sees important variation across the </w:t>
      </w:r>
      <w:r w:rsidR="00C65F2C">
        <w:rPr>
          <w:rFonts w:eastAsia="Calibri"/>
          <w:sz w:val="19"/>
          <w:szCs w:val="19"/>
          <w:lang w:val="en-GB"/>
        </w:rPr>
        <w:t>country</w:t>
      </w:r>
      <w:r w:rsidR="00E124AB">
        <w:rPr>
          <w:rFonts w:eastAsia="Calibri"/>
          <w:sz w:val="19"/>
          <w:szCs w:val="19"/>
          <w:lang w:val="en-GB"/>
        </w:rPr>
        <w:t xml:space="preserve">. The </w:t>
      </w:r>
      <w:r w:rsidRPr="00712068" w:rsidR="00B843C4">
        <w:rPr>
          <w:rFonts w:eastAsia="Calibri"/>
          <w:b/>
          <w:sz w:val="19"/>
          <w:szCs w:val="19"/>
          <w:lang w:val="en-GB"/>
        </w:rPr>
        <w:t>lowest</w:t>
      </w:r>
      <w:r w:rsidR="00B843C4">
        <w:rPr>
          <w:rFonts w:eastAsia="Calibri"/>
          <w:sz w:val="19"/>
          <w:szCs w:val="19"/>
          <w:lang w:val="en-GB"/>
        </w:rPr>
        <w:t xml:space="preserve"> numbers </w:t>
      </w:r>
      <w:r w:rsidR="00C65F2C">
        <w:rPr>
          <w:rFonts w:eastAsia="Calibri"/>
          <w:sz w:val="19"/>
          <w:szCs w:val="19"/>
          <w:lang w:val="en-GB"/>
        </w:rPr>
        <w:t>of partners</w:t>
      </w:r>
      <w:r w:rsidR="00B843C4">
        <w:rPr>
          <w:rFonts w:eastAsia="Calibri"/>
          <w:sz w:val="19"/>
          <w:szCs w:val="19"/>
          <w:lang w:val="en-GB"/>
        </w:rPr>
        <w:t xml:space="preserve"> </w:t>
      </w:r>
      <w:r w:rsidR="00E124AB">
        <w:rPr>
          <w:rFonts w:eastAsia="Calibri"/>
          <w:sz w:val="19"/>
          <w:szCs w:val="19"/>
          <w:lang w:val="en-GB"/>
        </w:rPr>
        <w:t xml:space="preserve">are </w:t>
      </w:r>
      <w:r w:rsidR="00B843C4">
        <w:rPr>
          <w:rFonts w:eastAsia="Calibri"/>
          <w:sz w:val="19"/>
          <w:szCs w:val="19"/>
          <w:lang w:val="en-GB"/>
        </w:rPr>
        <w:t>registered in Tartous (15), As-</w:t>
      </w:r>
      <w:proofErr w:type="spellStart"/>
      <w:r w:rsidR="00B843C4">
        <w:rPr>
          <w:rFonts w:eastAsia="Calibri"/>
          <w:sz w:val="19"/>
          <w:szCs w:val="19"/>
          <w:lang w:val="en-GB"/>
        </w:rPr>
        <w:t>Sweida</w:t>
      </w:r>
      <w:proofErr w:type="spellEnd"/>
      <w:r w:rsidR="00B843C4">
        <w:rPr>
          <w:rFonts w:eastAsia="Calibri"/>
          <w:sz w:val="19"/>
          <w:szCs w:val="19"/>
          <w:lang w:val="en-GB"/>
        </w:rPr>
        <w:t xml:space="preserve"> (15), </w:t>
      </w:r>
      <w:proofErr w:type="spellStart"/>
      <w:r w:rsidR="00B843C4">
        <w:rPr>
          <w:rFonts w:eastAsia="Calibri"/>
          <w:sz w:val="19"/>
          <w:szCs w:val="19"/>
          <w:lang w:val="en-GB"/>
        </w:rPr>
        <w:t>Lattakia</w:t>
      </w:r>
      <w:proofErr w:type="spellEnd"/>
      <w:r w:rsidR="00B843C4">
        <w:rPr>
          <w:rFonts w:eastAsia="Calibri"/>
          <w:sz w:val="19"/>
          <w:szCs w:val="19"/>
          <w:lang w:val="en-GB"/>
        </w:rPr>
        <w:t xml:space="preserve"> (21) and Damascus (21)</w:t>
      </w:r>
      <w:r w:rsidR="00E124AB">
        <w:rPr>
          <w:rFonts w:eastAsia="Calibri"/>
          <w:sz w:val="19"/>
          <w:szCs w:val="19"/>
          <w:lang w:val="en-GB"/>
        </w:rPr>
        <w:t xml:space="preserve">, as </w:t>
      </w:r>
      <w:r w:rsidR="00C65F2C">
        <w:rPr>
          <w:rFonts w:eastAsia="Calibri"/>
          <w:sz w:val="19"/>
          <w:szCs w:val="19"/>
          <w:lang w:val="en-GB"/>
        </w:rPr>
        <w:t xml:space="preserve">presumably </w:t>
      </w:r>
      <w:r w:rsidR="00E124AB">
        <w:rPr>
          <w:rFonts w:eastAsia="Calibri"/>
          <w:sz w:val="19"/>
          <w:szCs w:val="19"/>
          <w:lang w:val="en-GB"/>
        </w:rPr>
        <w:t xml:space="preserve">linked </w:t>
      </w:r>
      <w:r w:rsidR="00C65F2C">
        <w:rPr>
          <w:rFonts w:eastAsia="Calibri"/>
          <w:sz w:val="19"/>
          <w:szCs w:val="19"/>
          <w:lang w:val="en-GB"/>
        </w:rPr>
        <w:t>in part</w:t>
      </w:r>
      <w:r w:rsidR="00E124AB">
        <w:rPr>
          <w:rFonts w:eastAsia="Calibri"/>
          <w:sz w:val="19"/>
          <w:szCs w:val="19"/>
          <w:lang w:val="en-GB"/>
        </w:rPr>
        <w:t xml:space="preserve"> to the </w:t>
      </w:r>
      <w:r w:rsidR="00E124AB">
        <w:rPr>
          <w:rFonts w:eastAsia="Calibri"/>
          <w:sz w:val="19"/>
          <w:szCs w:val="19"/>
          <w:lang w:val="en-GB"/>
        </w:rPr>
        <w:t xml:space="preserve">current accreditation situation for humanitarian partners in </w:t>
      </w:r>
      <w:proofErr w:type="spellStart"/>
      <w:r w:rsidR="00E124AB">
        <w:rPr>
          <w:rFonts w:eastAsia="Calibri"/>
          <w:sz w:val="19"/>
          <w:szCs w:val="19"/>
          <w:lang w:val="en-GB"/>
        </w:rPr>
        <w:t>GoS</w:t>
      </w:r>
      <w:proofErr w:type="spellEnd"/>
      <w:r w:rsidR="00E124AB">
        <w:rPr>
          <w:rFonts w:eastAsia="Calibri"/>
          <w:sz w:val="19"/>
          <w:szCs w:val="19"/>
          <w:lang w:val="en-GB"/>
        </w:rPr>
        <w:t xml:space="preserve"> areas. The </w:t>
      </w:r>
      <w:r w:rsidRPr="00712068" w:rsidR="00E124AB">
        <w:rPr>
          <w:rFonts w:eastAsia="Calibri"/>
          <w:b/>
          <w:sz w:val="19"/>
          <w:szCs w:val="19"/>
          <w:lang w:val="en-GB"/>
        </w:rPr>
        <w:t>highest</w:t>
      </w:r>
      <w:r w:rsidR="00E124AB">
        <w:rPr>
          <w:rFonts w:eastAsia="Calibri"/>
          <w:sz w:val="19"/>
          <w:szCs w:val="19"/>
          <w:lang w:val="en-GB"/>
        </w:rPr>
        <w:t xml:space="preserve"> numbers of partners</w:t>
      </w:r>
      <w:r w:rsidR="00242E4F">
        <w:rPr>
          <w:rFonts w:eastAsia="Calibri"/>
          <w:sz w:val="19"/>
          <w:szCs w:val="19"/>
          <w:lang w:val="en-GB"/>
        </w:rPr>
        <w:t xml:space="preserve"> </w:t>
      </w:r>
      <w:r w:rsidR="00C65F2C">
        <w:rPr>
          <w:rFonts w:eastAsia="Calibri"/>
          <w:sz w:val="19"/>
          <w:szCs w:val="19"/>
          <w:lang w:val="en-GB"/>
        </w:rPr>
        <w:t xml:space="preserve">which </w:t>
      </w:r>
      <w:r w:rsidR="00242E4F">
        <w:rPr>
          <w:rFonts w:eastAsia="Calibri"/>
          <w:sz w:val="19"/>
          <w:szCs w:val="19"/>
          <w:lang w:val="en-GB"/>
        </w:rPr>
        <w:t>registered HRP projects</w:t>
      </w:r>
      <w:r w:rsidR="00E124AB">
        <w:rPr>
          <w:rFonts w:eastAsia="Calibri"/>
          <w:sz w:val="19"/>
          <w:szCs w:val="19"/>
          <w:lang w:val="en-GB"/>
        </w:rPr>
        <w:t xml:space="preserve"> are found in Aleppo (120), Idleb (108), Ar-Raqqa (50), Al-</w:t>
      </w:r>
      <w:proofErr w:type="spellStart"/>
      <w:r w:rsidR="00E124AB">
        <w:rPr>
          <w:rFonts w:eastAsia="Calibri"/>
          <w:sz w:val="19"/>
          <w:szCs w:val="19"/>
          <w:lang w:val="en-GB"/>
        </w:rPr>
        <w:t>Hasakeh</w:t>
      </w:r>
      <w:proofErr w:type="spellEnd"/>
      <w:r w:rsidR="00E124AB">
        <w:rPr>
          <w:rFonts w:eastAsia="Calibri"/>
          <w:sz w:val="19"/>
          <w:szCs w:val="19"/>
          <w:lang w:val="en-GB"/>
        </w:rPr>
        <w:t xml:space="preserve"> (43) and Deir-</w:t>
      </w:r>
      <w:proofErr w:type="spellStart"/>
      <w:r w:rsidR="00E124AB">
        <w:rPr>
          <w:rFonts w:eastAsia="Calibri"/>
          <w:sz w:val="19"/>
          <w:szCs w:val="19"/>
          <w:lang w:val="en-GB"/>
        </w:rPr>
        <w:t>ez</w:t>
      </w:r>
      <w:proofErr w:type="spellEnd"/>
      <w:r w:rsidR="00E124AB">
        <w:rPr>
          <w:rFonts w:eastAsia="Calibri"/>
          <w:sz w:val="19"/>
          <w:szCs w:val="19"/>
          <w:lang w:val="en-GB"/>
        </w:rPr>
        <w:t>-</w:t>
      </w:r>
      <w:proofErr w:type="spellStart"/>
      <w:r w:rsidR="00E124AB">
        <w:rPr>
          <w:rFonts w:eastAsia="Calibri"/>
          <w:sz w:val="19"/>
          <w:szCs w:val="19"/>
          <w:lang w:val="en-GB"/>
        </w:rPr>
        <w:t>Zor</w:t>
      </w:r>
      <w:proofErr w:type="spellEnd"/>
      <w:r w:rsidR="00E124AB">
        <w:rPr>
          <w:rFonts w:eastAsia="Calibri"/>
          <w:sz w:val="19"/>
          <w:szCs w:val="19"/>
          <w:lang w:val="en-GB"/>
        </w:rPr>
        <w:t xml:space="preserve"> (42). </w:t>
      </w:r>
    </w:p>
    <w:p w:rsidRPr="0025510F" w:rsidR="00E124AB" w:rsidP="00242E4F" w:rsidRDefault="00E124AB" w14:paraId="2F474E94" w14:textId="019A6A31">
      <w:pPr>
        <w:pStyle w:val="ListParagraph"/>
        <w:numPr>
          <w:ilvl w:val="0"/>
          <w:numId w:val="1"/>
        </w:numPr>
        <w:spacing w:after="60"/>
        <w:ind w:left="446"/>
        <w:rPr>
          <w:rFonts w:eastAsia="Calibri"/>
          <w:sz w:val="19"/>
          <w:szCs w:val="19"/>
          <w:lang w:val="en-GB"/>
        </w:rPr>
      </w:pPr>
      <w:r>
        <w:rPr>
          <w:rFonts w:eastAsia="Calibri"/>
          <w:sz w:val="19"/>
          <w:szCs w:val="19"/>
          <w:lang w:val="en-GB"/>
        </w:rPr>
        <w:t xml:space="preserve">Note: the number of sector partners which report actual implementation in line with HRP activities (reach) is typically higher than the number of partners who have formally registered projects in the HRP. </w:t>
      </w:r>
      <w:r w:rsidR="00C65F2C">
        <w:rPr>
          <w:rFonts w:eastAsia="Calibri"/>
          <w:sz w:val="19"/>
          <w:szCs w:val="19"/>
          <w:lang w:val="en-GB"/>
        </w:rPr>
        <w:t xml:space="preserve">In other words, 152 organizations may formally participate in project development for the HRP but </w:t>
      </w:r>
      <w:r w:rsidR="00C51370">
        <w:rPr>
          <w:rFonts w:eastAsia="Calibri"/>
          <w:sz w:val="19"/>
          <w:szCs w:val="19"/>
          <w:lang w:val="en-GB"/>
        </w:rPr>
        <w:t xml:space="preserve">practically, </w:t>
      </w:r>
      <w:r w:rsidR="00C65F2C">
        <w:rPr>
          <w:rFonts w:eastAsia="Calibri"/>
          <w:sz w:val="19"/>
          <w:szCs w:val="19"/>
          <w:lang w:val="en-GB"/>
        </w:rPr>
        <w:t xml:space="preserve">activities </w:t>
      </w:r>
      <w:r w:rsidR="00C51370">
        <w:rPr>
          <w:rFonts w:eastAsia="Calibri"/>
          <w:sz w:val="19"/>
          <w:szCs w:val="19"/>
          <w:lang w:val="en-GB"/>
        </w:rPr>
        <w:t xml:space="preserve">delivered </w:t>
      </w:r>
      <w:r w:rsidR="00C65F2C">
        <w:rPr>
          <w:rFonts w:eastAsia="Calibri"/>
          <w:sz w:val="19"/>
          <w:szCs w:val="19"/>
          <w:lang w:val="en-GB"/>
        </w:rPr>
        <w:t xml:space="preserve">by a higher number of partners may de facto be counted towards implementation under the HRP. </w:t>
      </w:r>
    </w:p>
    <w:p w:rsidR="00372353" w:rsidP="00EA1163" w:rsidRDefault="00372353" w14:paraId="6631BAAA" w14:textId="696B321A">
      <w:pPr>
        <w:spacing w:after="60" w:line="240" w:lineRule="auto"/>
        <w:rPr>
          <w:rFonts w:eastAsia="Calibri"/>
          <w:i/>
          <w:iCs/>
          <w:sz w:val="19"/>
          <w:szCs w:val="19"/>
          <w:lang w:val="en-GB"/>
        </w:rPr>
      </w:pPr>
    </w:p>
    <w:p w:rsidRPr="005353AC" w:rsidR="005353AC" w:rsidP="00712068" w:rsidRDefault="00DF71CC" w14:paraId="3205E251" w14:textId="0F310F54">
      <w:pPr>
        <w:spacing w:after="60" w:line="240" w:lineRule="auto"/>
        <w:ind w:left="-360" w:firstLine="360"/>
        <w:rPr>
          <w:rFonts w:eastAsia="Calibri"/>
          <w:i/>
          <w:iCs/>
          <w:sz w:val="19"/>
          <w:szCs w:val="19"/>
        </w:rPr>
      </w:pPr>
      <w:r w:rsidRPr="00DF71CC">
        <w:rPr>
          <w:noProof/>
        </w:rPr>
        <w:drawing>
          <wp:inline distT="0" distB="0" distL="0" distR="0" wp14:anchorId="48DDA4A2" wp14:editId="7D27D7BD">
            <wp:extent cx="6866768" cy="2499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4099" cy="2502028"/>
                    </a:xfrm>
                    <a:prstGeom prst="rect">
                      <a:avLst/>
                    </a:prstGeom>
                    <a:noFill/>
                    <a:ln>
                      <a:noFill/>
                    </a:ln>
                  </pic:spPr>
                </pic:pic>
              </a:graphicData>
            </a:graphic>
          </wp:inline>
        </w:drawing>
      </w:r>
    </w:p>
    <w:p w:rsidR="007D6D4C" w:rsidP="00EA1163" w:rsidRDefault="007D6D4C" w14:paraId="0C281232" w14:textId="77777777">
      <w:pPr>
        <w:spacing w:after="60" w:line="240" w:lineRule="auto"/>
        <w:rPr>
          <w:rFonts w:eastAsia="Calibri"/>
          <w:i/>
          <w:iCs/>
          <w:sz w:val="19"/>
          <w:szCs w:val="19"/>
          <w:lang w:val="en-GB"/>
        </w:rPr>
      </w:pPr>
    </w:p>
    <w:p w:rsidRPr="00E124AB" w:rsidR="00E124AB" w:rsidP="00EA1163" w:rsidRDefault="00E124AB" w14:paraId="45A98DB5" w14:textId="221A4E12">
      <w:pPr>
        <w:spacing w:after="60" w:line="240" w:lineRule="auto"/>
        <w:rPr>
          <w:rFonts w:eastAsia="Calibri"/>
          <w:i/>
          <w:iCs/>
          <w:sz w:val="19"/>
          <w:szCs w:val="19"/>
          <w:lang w:val="en-GB"/>
        </w:rPr>
      </w:pPr>
      <w:r w:rsidRPr="00E124AB">
        <w:rPr>
          <w:rFonts w:eastAsia="Calibri"/>
          <w:i/>
          <w:iCs/>
          <w:sz w:val="19"/>
          <w:szCs w:val="19"/>
          <w:lang w:val="en-GB"/>
        </w:rPr>
        <w:t xml:space="preserve">Cash </w:t>
      </w:r>
      <w:r w:rsidR="00242E4F">
        <w:rPr>
          <w:rFonts w:eastAsia="Calibri"/>
          <w:i/>
          <w:iCs/>
          <w:sz w:val="19"/>
          <w:szCs w:val="19"/>
          <w:lang w:val="en-GB"/>
        </w:rPr>
        <w:t>p</w:t>
      </w:r>
      <w:r w:rsidRPr="00E124AB">
        <w:rPr>
          <w:rFonts w:eastAsia="Calibri"/>
          <w:i/>
          <w:iCs/>
          <w:sz w:val="19"/>
          <w:szCs w:val="19"/>
          <w:lang w:val="en-GB"/>
        </w:rPr>
        <w:t>rogramming:</w:t>
      </w:r>
    </w:p>
    <w:p w:rsidR="00B77CA9" w:rsidP="00B77CA9" w:rsidRDefault="00B77CA9" w14:paraId="301D0DC8" w14:textId="785ED787">
      <w:pPr>
        <w:pStyle w:val="ListParagraph"/>
        <w:numPr>
          <w:ilvl w:val="0"/>
          <w:numId w:val="1"/>
        </w:numPr>
        <w:spacing w:after="60"/>
        <w:ind w:left="446"/>
        <w:rPr>
          <w:rFonts w:eastAsia="Calibri"/>
          <w:sz w:val="19"/>
          <w:szCs w:val="19"/>
          <w:lang w:val="en-GB"/>
        </w:rPr>
      </w:pPr>
      <w:r>
        <w:rPr>
          <w:rFonts w:eastAsia="Calibri"/>
          <w:sz w:val="19"/>
          <w:szCs w:val="19"/>
          <w:lang w:val="en-GB"/>
        </w:rPr>
        <w:t xml:space="preserve">An estimated </w:t>
      </w:r>
      <w:r w:rsidRPr="00712068">
        <w:rPr>
          <w:rFonts w:eastAsia="Calibri"/>
          <w:b/>
          <w:sz w:val="19"/>
          <w:szCs w:val="19"/>
          <w:lang w:val="en-GB"/>
        </w:rPr>
        <w:t>1</w:t>
      </w:r>
      <w:r w:rsidRPr="00712068" w:rsidR="00D101B2">
        <w:rPr>
          <w:rFonts w:eastAsia="Calibri"/>
          <w:b/>
          <w:sz w:val="19"/>
          <w:szCs w:val="19"/>
          <w:lang w:val="en-GB"/>
        </w:rPr>
        <w:t>6.1</w:t>
      </w:r>
      <w:r w:rsidRPr="00712068">
        <w:rPr>
          <w:rFonts w:eastAsia="Calibri"/>
          <w:b/>
          <w:sz w:val="19"/>
          <w:szCs w:val="19"/>
          <w:lang w:val="en-GB"/>
        </w:rPr>
        <w:t xml:space="preserve"> per cent</w:t>
      </w:r>
      <w:r w:rsidRPr="00B77CA9">
        <w:rPr>
          <w:rFonts w:eastAsia="Calibri"/>
          <w:sz w:val="19"/>
          <w:szCs w:val="19"/>
          <w:lang w:val="en-GB"/>
        </w:rPr>
        <w:t xml:space="preserve"> (US$6</w:t>
      </w:r>
      <w:r w:rsidR="00D101B2">
        <w:rPr>
          <w:rFonts w:eastAsia="Calibri"/>
          <w:sz w:val="19"/>
          <w:szCs w:val="19"/>
          <w:lang w:val="en-GB"/>
        </w:rPr>
        <w:t>78</w:t>
      </w:r>
      <w:r w:rsidR="007D6D4C">
        <w:rPr>
          <w:rFonts w:eastAsia="Calibri"/>
          <w:sz w:val="19"/>
          <w:szCs w:val="19"/>
          <w:lang w:val="en-GB"/>
        </w:rPr>
        <w:t>m</w:t>
      </w:r>
      <w:r w:rsidRPr="00B77CA9">
        <w:rPr>
          <w:rFonts w:eastAsia="Calibri"/>
          <w:sz w:val="19"/>
          <w:szCs w:val="19"/>
          <w:lang w:val="en-GB"/>
        </w:rPr>
        <w:t xml:space="preserve">) of 2021 HRP funding requirements </w:t>
      </w:r>
      <w:r w:rsidR="00C51370">
        <w:rPr>
          <w:rFonts w:eastAsia="Calibri"/>
          <w:sz w:val="19"/>
          <w:szCs w:val="19"/>
          <w:lang w:val="en-GB"/>
        </w:rPr>
        <w:t>is</w:t>
      </w:r>
      <w:r w:rsidRPr="00B77CA9">
        <w:rPr>
          <w:rFonts w:eastAsia="Calibri"/>
          <w:sz w:val="19"/>
          <w:szCs w:val="19"/>
          <w:lang w:val="en-GB"/>
        </w:rPr>
        <w:t xml:space="preserve"> intended for cash programming, a </w:t>
      </w:r>
      <w:r w:rsidRPr="00712068" w:rsidR="007D6D4C">
        <w:rPr>
          <w:rFonts w:eastAsia="Calibri"/>
          <w:b/>
          <w:sz w:val="19"/>
          <w:szCs w:val="19"/>
          <w:lang w:val="en-GB"/>
        </w:rPr>
        <w:t>59%</w:t>
      </w:r>
      <w:r w:rsidRPr="00712068">
        <w:rPr>
          <w:rFonts w:eastAsia="Calibri"/>
          <w:b/>
          <w:sz w:val="19"/>
          <w:szCs w:val="19"/>
          <w:lang w:val="en-GB"/>
        </w:rPr>
        <w:t xml:space="preserve"> increase</w:t>
      </w:r>
      <w:r w:rsidRPr="00B77CA9">
        <w:rPr>
          <w:rFonts w:eastAsia="Calibri"/>
          <w:sz w:val="19"/>
          <w:szCs w:val="19"/>
          <w:lang w:val="en-GB"/>
        </w:rPr>
        <w:t xml:space="preserve"> from 2020 ($427</w:t>
      </w:r>
      <w:r w:rsidR="007D6D4C">
        <w:rPr>
          <w:rFonts w:eastAsia="Calibri"/>
          <w:sz w:val="19"/>
          <w:szCs w:val="19"/>
          <w:lang w:val="en-GB"/>
        </w:rPr>
        <w:t>m</w:t>
      </w:r>
      <w:r w:rsidRPr="00B77CA9">
        <w:rPr>
          <w:rFonts w:eastAsia="Calibri"/>
          <w:sz w:val="19"/>
          <w:szCs w:val="19"/>
          <w:lang w:val="en-GB"/>
        </w:rPr>
        <w:t xml:space="preserve">). </w:t>
      </w:r>
    </w:p>
    <w:p w:rsidRPr="00B77CA9" w:rsidR="00E124AB" w:rsidP="002A7E8E" w:rsidRDefault="00B77CA9" w14:paraId="21156E7F" w14:textId="79FAE464">
      <w:pPr>
        <w:pStyle w:val="ListParagraph"/>
        <w:numPr>
          <w:ilvl w:val="0"/>
          <w:numId w:val="1"/>
        </w:numPr>
        <w:spacing w:after="60"/>
        <w:ind w:left="446"/>
        <w:rPr>
          <w:rFonts w:eastAsia="Calibri"/>
          <w:sz w:val="19"/>
          <w:szCs w:val="19"/>
          <w:lang w:val="en-GB"/>
        </w:rPr>
      </w:pPr>
      <w:r>
        <w:rPr>
          <w:rFonts w:eastAsia="Calibri"/>
          <w:sz w:val="19"/>
          <w:szCs w:val="19"/>
          <w:lang w:val="en-GB"/>
        </w:rPr>
        <w:t>The bulk ($5</w:t>
      </w:r>
      <w:r w:rsidR="00477D0C">
        <w:rPr>
          <w:rFonts w:eastAsia="Calibri"/>
          <w:sz w:val="19"/>
          <w:szCs w:val="19"/>
          <w:lang w:val="en-GB"/>
        </w:rPr>
        <w:t>45</w:t>
      </w:r>
      <w:r>
        <w:rPr>
          <w:rFonts w:eastAsia="Calibri"/>
          <w:sz w:val="19"/>
          <w:szCs w:val="19"/>
          <w:lang w:val="en-GB"/>
        </w:rPr>
        <w:t xml:space="preserve">m) of intended cash programming is for sector-specific </w:t>
      </w:r>
      <w:r w:rsidRPr="00B77CA9">
        <w:rPr>
          <w:rFonts w:eastAsia="Calibri"/>
          <w:sz w:val="19"/>
          <w:szCs w:val="19"/>
          <w:lang w:val="en-GB"/>
        </w:rPr>
        <w:t>cash and voucher assistance</w:t>
      </w:r>
      <w:r>
        <w:rPr>
          <w:rFonts w:eastAsia="Calibri"/>
          <w:sz w:val="19"/>
          <w:szCs w:val="19"/>
          <w:lang w:val="en-GB"/>
        </w:rPr>
        <w:t>. $13</w:t>
      </w:r>
      <w:r w:rsidR="00477D0C">
        <w:rPr>
          <w:rFonts w:eastAsia="Calibri"/>
          <w:sz w:val="19"/>
          <w:szCs w:val="19"/>
          <w:lang w:val="en-GB"/>
        </w:rPr>
        <w:t>3</w:t>
      </w:r>
      <w:r>
        <w:rPr>
          <w:rFonts w:eastAsia="Calibri"/>
          <w:sz w:val="19"/>
          <w:szCs w:val="19"/>
          <w:lang w:val="en-GB"/>
        </w:rPr>
        <w:t>m</w:t>
      </w:r>
      <w:r w:rsidR="002A7E8E">
        <w:rPr>
          <w:rFonts w:eastAsia="Calibri"/>
          <w:sz w:val="19"/>
          <w:szCs w:val="19"/>
          <w:lang w:val="en-GB"/>
        </w:rPr>
        <w:t xml:space="preserve"> </w:t>
      </w:r>
      <w:r>
        <w:rPr>
          <w:rFonts w:eastAsia="Calibri"/>
          <w:sz w:val="19"/>
          <w:szCs w:val="19"/>
          <w:lang w:val="en-GB"/>
        </w:rPr>
        <w:t xml:space="preserve">are intended for </w:t>
      </w:r>
      <w:r w:rsidRPr="00B77CA9">
        <w:rPr>
          <w:rFonts w:eastAsia="Calibri"/>
          <w:sz w:val="19"/>
          <w:szCs w:val="19"/>
          <w:lang w:val="en-GB"/>
        </w:rPr>
        <w:t>multi-purpose cash</w:t>
      </w:r>
      <w:r>
        <w:rPr>
          <w:rFonts w:eastAsia="Calibri"/>
          <w:sz w:val="19"/>
          <w:szCs w:val="19"/>
          <w:lang w:val="en-GB"/>
        </w:rPr>
        <w:t xml:space="preserve"> (an increase from $117m in 2020). The 2021 HRP document </w:t>
      </w:r>
      <w:r w:rsidR="00C51370">
        <w:rPr>
          <w:rFonts w:eastAsia="Calibri"/>
          <w:sz w:val="19"/>
          <w:szCs w:val="19"/>
          <w:lang w:val="en-GB"/>
        </w:rPr>
        <w:t>itself</w:t>
      </w:r>
      <w:r>
        <w:rPr>
          <w:rFonts w:eastAsia="Calibri"/>
          <w:sz w:val="19"/>
          <w:szCs w:val="19"/>
          <w:lang w:val="en-GB"/>
        </w:rPr>
        <w:t xml:space="preserve"> </w:t>
      </w:r>
      <w:r w:rsidR="002A7E8E">
        <w:rPr>
          <w:rFonts w:eastAsia="Calibri"/>
          <w:sz w:val="19"/>
          <w:szCs w:val="19"/>
          <w:lang w:val="en-GB"/>
        </w:rPr>
        <w:t xml:space="preserve">includes </w:t>
      </w:r>
      <w:r>
        <w:rPr>
          <w:rFonts w:eastAsia="Calibri"/>
          <w:sz w:val="19"/>
          <w:szCs w:val="19"/>
          <w:lang w:val="en-GB"/>
        </w:rPr>
        <w:t xml:space="preserve">a specific </w:t>
      </w:r>
      <w:r w:rsidR="00C51370">
        <w:rPr>
          <w:rFonts w:eastAsia="Calibri"/>
          <w:sz w:val="19"/>
          <w:szCs w:val="19"/>
          <w:lang w:val="en-GB"/>
        </w:rPr>
        <w:t xml:space="preserve">highlight </w:t>
      </w:r>
      <w:r>
        <w:rPr>
          <w:rFonts w:eastAsia="Calibri"/>
          <w:sz w:val="19"/>
          <w:szCs w:val="19"/>
          <w:lang w:val="en-GB"/>
        </w:rPr>
        <w:t xml:space="preserve">section </w:t>
      </w:r>
      <w:r w:rsidR="002A7E8E">
        <w:rPr>
          <w:rFonts w:eastAsia="Calibri"/>
          <w:sz w:val="19"/>
          <w:szCs w:val="19"/>
          <w:lang w:val="en-GB"/>
        </w:rPr>
        <w:t xml:space="preserve">on </w:t>
      </w:r>
      <w:r>
        <w:rPr>
          <w:rFonts w:eastAsia="Calibri"/>
          <w:sz w:val="19"/>
          <w:szCs w:val="19"/>
          <w:lang w:val="en-GB"/>
        </w:rPr>
        <w:t>increase</w:t>
      </w:r>
      <w:r w:rsidR="002A7E8E">
        <w:rPr>
          <w:rFonts w:eastAsia="Calibri"/>
          <w:sz w:val="19"/>
          <w:szCs w:val="19"/>
          <w:lang w:val="en-GB"/>
        </w:rPr>
        <w:t>d</w:t>
      </w:r>
      <w:r>
        <w:rPr>
          <w:rFonts w:eastAsia="Calibri"/>
          <w:sz w:val="19"/>
          <w:szCs w:val="19"/>
          <w:lang w:val="en-GB"/>
        </w:rPr>
        <w:t xml:space="preserve"> cash programming in Syria, as</w:t>
      </w:r>
      <w:r w:rsidRPr="00B77CA9">
        <w:rPr>
          <w:rFonts w:eastAsia="Calibri"/>
          <w:sz w:val="19"/>
          <w:szCs w:val="19"/>
          <w:lang w:val="en-GB"/>
        </w:rPr>
        <w:t xml:space="preserve"> informed by feasibility</w:t>
      </w:r>
      <w:r>
        <w:rPr>
          <w:rFonts w:eastAsia="Calibri"/>
          <w:sz w:val="19"/>
          <w:szCs w:val="19"/>
          <w:lang w:val="en-GB"/>
        </w:rPr>
        <w:t xml:space="preserve"> and in line with ex</w:t>
      </w:r>
      <w:r w:rsidRPr="00B77CA9">
        <w:rPr>
          <w:rFonts w:eastAsia="Calibri"/>
          <w:sz w:val="19"/>
          <w:szCs w:val="19"/>
          <w:lang w:val="en-GB"/>
        </w:rPr>
        <w:t>pressed community preferences and Grand Bargain commitment</w:t>
      </w:r>
      <w:r>
        <w:rPr>
          <w:rFonts w:eastAsia="Calibri"/>
          <w:sz w:val="19"/>
          <w:szCs w:val="19"/>
          <w:lang w:val="en-GB"/>
        </w:rPr>
        <w:t xml:space="preserve">s.  </w:t>
      </w:r>
    </w:p>
    <w:p w:rsidR="00E124AB" w:rsidP="00EA1163" w:rsidRDefault="003A5CD5" w14:paraId="38D9EB3A" w14:textId="77777777">
      <w:pPr>
        <w:spacing w:after="60" w:line="240" w:lineRule="auto"/>
        <w:rPr>
          <w:rFonts w:eastAsia="Calibri"/>
          <w:b/>
          <w:bCs/>
          <w:sz w:val="19"/>
          <w:szCs w:val="19"/>
          <w:lang w:val="en-GB"/>
        </w:rPr>
      </w:pPr>
      <w:r>
        <w:rPr>
          <w:rFonts w:eastAsia="Calibri"/>
          <w:b/>
          <w:noProof/>
          <w:sz w:val="19"/>
          <w:szCs w:val="19"/>
        </w:rPr>
        <w:drawing>
          <wp:inline distT="0" distB="0" distL="0" distR="0" wp14:anchorId="2494B0BF" wp14:editId="22CBC816">
            <wp:extent cx="5943600" cy="2352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352675"/>
                    </a:xfrm>
                    <a:prstGeom prst="rect">
                      <a:avLst/>
                    </a:prstGeom>
                    <a:noFill/>
                    <a:ln>
                      <a:noFill/>
                    </a:ln>
                  </pic:spPr>
                </pic:pic>
              </a:graphicData>
            </a:graphic>
          </wp:inline>
        </w:drawing>
      </w:r>
    </w:p>
    <w:p w:rsidR="0094144D" w:rsidP="00EA1163" w:rsidRDefault="0094144D" w14:paraId="40C319D3" w14:textId="1044C22D">
      <w:pPr>
        <w:spacing w:after="60" w:line="240" w:lineRule="auto"/>
        <w:rPr>
          <w:rFonts w:eastAsia="Calibri"/>
          <w:b/>
          <w:bCs/>
          <w:sz w:val="19"/>
          <w:szCs w:val="19"/>
          <w:lang w:val="en-GB"/>
        </w:rPr>
      </w:pPr>
      <w:r w:rsidRPr="0094144D">
        <w:rPr>
          <w:rFonts w:eastAsia="Calibri"/>
          <w:b/>
          <w:bCs/>
          <w:sz w:val="19"/>
          <w:szCs w:val="19"/>
          <w:lang w:val="en-GB"/>
        </w:rPr>
        <w:t xml:space="preserve">Next steps after HC </w:t>
      </w:r>
      <w:proofErr w:type="spellStart"/>
      <w:r w:rsidRPr="0094144D">
        <w:rPr>
          <w:rFonts w:eastAsia="Calibri"/>
          <w:b/>
          <w:bCs/>
          <w:sz w:val="19"/>
          <w:szCs w:val="19"/>
          <w:lang w:val="en-GB"/>
        </w:rPr>
        <w:t>Defense</w:t>
      </w:r>
      <w:proofErr w:type="spellEnd"/>
      <w:r w:rsidRPr="0094144D">
        <w:rPr>
          <w:rFonts w:eastAsia="Calibri"/>
          <w:b/>
          <w:bCs/>
          <w:sz w:val="19"/>
          <w:szCs w:val="19"/>
          <w:lang w:val="en-GB"/>
        </w:rPr>
        <w:t xml:space="preserve">: </w:t>
      </w:r>
    </w:p>
    <w:p w:rsidRPr="002A7E8E" w:rsidR="00E819E6" w:rsidP="002A7E8E" w:rsidRDefault="002A7E8E" w14:paraId="6EDCF4E5" w14:textId="4ABB3BE8">
      <w:pPr>
        <w:pStyle w:val="ListParagraph"/>
        <w:numPr>
          <w:ilvl w:val="0"/>
          <w:numId w:val="10"/>
        </w:numPr>
        <w:spacing w:after="60"/>
        <w:rPr>
          <w:rFonts w:eastAsia="Calibri"/>
          <w:sz w:val="19"/>
          <w:szCs w:val="19"/>
          <w:lang w:val="en-GB"/>
        </w:rPr>
      </w:pPr>
      <w:r w:rsidRPr="002A7E8E">
        <w:rPr>
          <w:rFonts w:eastAsia="Calibri"/>
          <w:sz w:val="19"/>
          <w:szCs w:val="19"/>
          <w:lang w:val="en-GB"/>
        </w:rPr>
        <w:t xml:space="preserve">Confirmation of </w:t>
      </w:r>
      <w:proofErr w:type="spellStart"/>
      <w:r w:rsidRPr="002A7E8E">
        <w:rPr>
          <w:rFonts w:eastAsia="Calibri"/>
          <w:sz w:val="19"/>
          <w:szCs w:val="19"/>
          <w:lang w:val="en-GB"/>
        </w:rPr>
        <w:t>WoS</w:t>
      </w:r>
      <w:proofErr w:type="spellEnd"/>
      <w:r w:rsidRPr="002A7E8E">
        <w:rPr>
          <w:rFonts w:eastAsia="Calibri"/>
          <w:sz w:val="19"/>
          <w:szCs w:val="19"/>
          <w:lang w:val="en-GB"/>
        </w:rPr>
        <w:t xml:space="preserve"> Sector budgets and targets (or adjustment, as required)</w:t>
      </w:r>
    </w:p>
    <w:p w:rsidRPr="002A7E8E" w:rsidR="002A7E8E" w:rsidP="002A7E8E" w:rsidRDefault="002A7E8E" w14:paraId="0BF61165" w14:textId="136659B5">
      <w:pPr>
        <w:pStyle w:val="ListParagraph"/>
        <w:numPr>
          <w:ilvl w:val="0"/>
          <w:numId w:val="10"/>
        </w:numPr>
        <w:spacing w:after="60"/>
        <w:rPr>
          <w:rFonts w:eastAsia="Calibri"/>
          <w:sz w:val="19"/>
          <w:szCs w:val="19"/>
          <w:lang w:val="en-GB"/>
        </w:rPr>
      </w:pPr>
      <w:r w:rsidRPr="002A7E8E">
        <w:rPr>
          <w:rFonts w:eastAsia="Calibri"/>
          <w:sz w:val="19"/>
          <w:szCs w:val="19"/>
          <w:lang w:val="en-GB"/>
        </w:rPr>
        <w:t xml:space="preserve">HRP document review by ISG, and subsequently the SSG/HCT/HLG/NES Forum </w:t>
      </w:r>
    </w:p>
    <w:p w:rsidRPr="002A7E8E" w:rsidR="002A7E8E" w:rsidP="002A7E8E" w:rsidRDefault="002A7E8E" w14:paraId="588C3916" w14:textId="08690A0D">
      <w:pPr>
        <w:pStyle w:val="ListParagraph"/>
        <w:numPr>
          <w:ilvl w:val="0"/>
          <w:numId w:val="10"/>
        </w:numPr>
        <w:spacing w:after="60"/>
        <w:rPr>
          <w:rFonts w:eastAsia="Calibri"/>
          <w:sz w:val="19"/>
          <w:szCs w:val="19"/>
          <w:lang w:val="en-GB"/>
        </w:rPr>
      </w:pPr>
      <w:r w:rsidRPr="002A7E8E">
        <w:rPr>
          <w:rFonts w:eastAsia="Calibri"/>
          <w:sz w:val="19"/>
          <w:szCs w:val="19"/>
          <w:lang w:val="en-GB"/>
        </w:rPr>
        <w:t>Finalization of HRP by end-June</w:t>
      </w:r>
    </w:p>
    <w:p w:rsidRPr="00601939" w:rsidR="00920073" w:rsidP="00EA1163" w:rsidRDefault="00920073" w14:paraId="2959D8C8" w14:textId="04A1F819">
      <w:pPr>
        <w:spacing w:line="240" w:lineRule="auto"/>
        <w:rPr>
          <w:rFonts w:eastAsia="Times New Roman"/>
        </w:rPr>
      </w:pPr>
    </w:p>
    <w:p w:rsidR="00B77CA9" w:rsidP="00EA1163" w:rsidRDefault="0094144D" w14:paraId="2EA418F7" w14:textId="083299F2">
      <w:pPr>
        <w:spacing w:line="240" w:lineRule="auto"/>
        <w:rPr>
          <w:rFonts w:ascii="Calibri Light" w:hAnsi="Calibri Light" w:eastAsia="Times New Roman" w:cs="Times New Roman"/>
          <w:b/>
          <w:bCs/>
          <w:spacing w:val="20"/>
          <w:sz w:val="28"/>
          <w:szCs w:val="28"/>
          <w:lang w:val="en-GB"/>
        </w:rPr>
      </w:pPr>
      <w:r>
        <w:rPr>
          <w:rFonts w:ascii="Calibri Light" w:hAnsi="Calibri Light" w:eastAsia="Times New Roman" w:cs="Times New Roman"/>
          <w:b/>
          <w:bCs/>
          <w:color w:val="0070C0"/>
          <w:sz w:val="32"/>
          <w:szCs w:val="32"/>
          <w:lang w:val="en-GB"/>
        </w:rPr>
        <w:br w:type="page"/>
      </w:r>
      <w:r w:rsidR="00D0058E">
        <w:rPr>
          <w:rFonts w:ascii="Calibri Light" w:hAnsi="Calibri Light" w:eastAsia="Times New Roman" w:cs="Times New Roman"/>
          <w:b/>
          <w:bCs/>
          <w:noProof/>
          <w:spacing w:val="20"/>
          <w:sz w:val="28"/>
          <w:szCs w:val="28"/>
          <w:lang w:val="en-GB"/>
        </w:rPr>
        <w:drawing>
          <wp:inline distT="0" distB="0" distL="0" distR="0" wp14:anchorId="18488CD8" wp14:editId="6A50348D">
            <wp:extent cx="6400800" cy="8263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6-07 at 12.30.59 P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0800" cy="8263255"/>
                    </a:xfrm>
                    <a:prstGeom prst="rect">
                      <a:avLst/>
                    </a:prstGeom>
                  </pic:spPr>
                </pic:pic>
              </a:graphicData>
            </a:graphic>
          </wp:inline>
        </w:drawing>
      </w:r>
      <w:r w:rsidR="00B77CA9">
        <w:rPr>
          <w:rFonts w:ascii="Calibri Light" w:hAnsi="Calibri Light" w:eastAsia="Times New Roman" w:cs="Times New Roman"/>
          <w:b/>
          <w:bCs/>
          <w:spacing w:val="20"/>
          <w:sz w:val="28"/>
          <w:szCs w:val="28"/>
          <w:lang w:val="en-GB"/>
        </w:rPr>
        <w:t xml:space="preserve"> </w:t>
      </w:r>
      <w:r w:rsidR="00B77CA9">
        <w:rPr>
          <w:rFonts w:ascii="Calibri Light" w:hAnsi="Calibri Light" w:eastAsia="Times New Roman" w:cs="Times New Roman"/>
          <w:b/>
          <w:bCs/>
          <w:spacing w:val="20"/>
          <w:sz w:val="28"/>
          <w:szCs w:val="28"/>
          <w:lang w:val="en-GB"/>
        </w:rPr>
        <w:br w:type="page"/>
      </w:r>
    </w:p>
    <w:p w:rsidRPr="0039585C" w:rsidR="00D20414" w:rsidP="00EA1163" w:rsidRDefault="00D20414" w14:paraId="735FB85B" w14:textId="1A52D67A">
      <w:pPr>
        <w:keepNext/>
        <w:keepLines/>
        <w:spacing w:before="40" w:after="0" w:line="240" w:lineRule="auto"/>
        <w:outlineLvl w:val="2"/>
        <w:rPr>
          <w:rFonts w:ascii="Calibri Light" w:hAnsi="Calibri Light" w:eastAsia="Times New Roman" w:cs="Times New Roman"/>
          <w:spacing w:val="20"/>
          <w:sz w:val="28"/>
          <w:szCs w:val="28"/>
        </w:rPr>
      </w:pPr>
      <w:r w:rsidRPr="0039585C">
        <w:rPr>
          <w:rFonts w:ascii="Calibri Light" w:hAnsi="Calibri Light" w:eastAsia="Times New Roman" w:cs="Times New Roman"/>
          <w:b/>
          <w:bCs/>
          <w:spacing w:val="20"/>
          <w:sz w:val="28"/>
          <w:szCs w:val="28"/>
          <w:lang w:val="en-GB"/>
        </w:rPr>
        <w:t>SCHEDULE</w:t>
      </w:r>
      <w:r w:rsidR="002A7E8E">
        <w:rPr>
          <w:rFonts w:ascii="Calibri Light" w:hAnsi="Calibri Light" w:eastAsia="Times New Roman" w:cs="Times New Roman"/>
          <w:b/>
          <w:bCs/>
          <w:spacing w:val="20"/>
          <w:sz w:val="28"/>
          <w:szCs w:val="28"/>
          <w:lang w:val="en-GB"/>
        </w:rPr>
        <w:t>, HC DEFENSE, 8 June</w:t>
      </w:r>
    </w:p>
    <w:p w:rsidRPr="0039585C" w:rsidR="00D20414" w:rsidP="00EA1163" w:rsidRDefault="00D20414" w14:paraId="3A308201" w14:textId="77777777">
      <w:pPr>
        <w:pBdr>
          <w:bottom w:val="single" w:color="auto" w:sz="4" w:space="1"/>
        </w:pBdr>
        <w:spacing w:line="240" w:lineRule="auto"/>
        <w:rPr>
          <w:rFonts w:ascii="Calibri Light" w:hAnsi="Calibri Light" w:eastAsia="Calibri" w:cs="Calibri Light"/>
          <w:sz w:val="8"/>
          <w:szCs w:val="8"/>
          <w:u w:val="single"/>
          <w:lang w:val="en-GB"/>
        </w:rPr>
      </w:pPr>
      <w:r w:rsidRPr="0039585C">
        <w:rPr>
          <w:rFonts w:ascii="Calibri Light" w:hAnsi="Calibri Light" w:eastAsia="Calibri" w:cs="Calibri Light"/>
          <w:sz w:val="8"/>
          <w:szCs w:val="8"/>
          <w:u w:val="single"/>
          <w:lang w:val="en-GB"/>
        </w:rPr>
        <w:br/>
      </w:r>
    </w:p>
    <w:p w:rsidRPr="0039585C" w:rsidR="00D20414" w:rsidP="00EA1163" w:rsidRDefault="00D20414" w14:paraId="71F83F72" w14:textId="77777777">
      <w:pPr>
        <w:spacing w:line="240" w:lineRule="auto"/>
        <w:rPr>
          <w:rFonts w:ascii="Calibri Light" w:hAnsi="Calibri Light" w:eastAsia="Calibri" w:cs="Calibri Light"/>
          <w:b/>
          <w:bCs/>
          <w:sz w:val="2"/>
          <w:szCs w:val="2"/>
          <w:lang w:val="en-GB"/>
        </w:rPr>
      </w:pPr>
    </w:p>
    <w:p w:rsidRPr="00587DF8" w:rsidR="0090174C" w:rsidP="00EA1163" w:rsidRDefault="008C36A2" w14:paraId="0CBCF3E1" w14:textId="0DB63A62">
      <w:pPr>
        <w:spacing w:line="240" w:lineRule="auto"/>
        <w:rPr>
          <w:rFonts w:ascii="Calibri Light" w:hAnsi="Calibri Light" w:eastAsia="Calibri" w:cs="Calibri Light"/>
          <w:b/>
          <w:bCs/>
          <w:color w:val="262626"/>
          <w:sz w:val="24"/>
          <w:szCs w:val="24"/>
          <w:lang w:val="en-GB"/>
        </w:rPr>
      </w:pPr>
      <w:r>
        <w:rPr>
          <w:rFonts w:ascii="Calibri Light" w:hAnsi="Calibri Light" w:eastAsia="Calibri" w:cs="Calibri Light"/>
          <w:b/>
          <w:bCs/>
          <w:color w:val="262626"/>
          <w:sz w:val="24"/>
          <w:szCs w:val="24"/>
          <w:lang w:val="en-GB"/>
        </w:rPr>
        <w:t>9</w:t>
      </w:r>
      <w:r w:rsidRPr="0039585C" w:rsidR="00D20414">
        <w:rPr>
          <w:rFonts w:ascii="Calibri Light" w:hAnsi="Calibri Light" w:eastAsia="Calibri" w:cs="Calibri Light"/>
          <w:b/>
          <w:bCs/>
          <w:color w:val="262626"/>
          <w:sz w:val="24"/>
          <w:szCs w:val="24"/>
          <w:lang w:val="en-GB"/>
        </w:rPr>
        <w:t xml:space="preserve">:00 – </w:t>
      </w:r>
      <w:r>
        <w:rPr>
          <w:rFonts w:ascii="Calibri Light" w:hAnsi="Calibri Light" w:eastAsia="Calibri" w:cs="Calibri Light"/>
          <w:b/>
          <w:bCs/>
          <w:color w:val="262626"/>
          <w:sz w:val="24"/>
          <w:szCs w:val="24"/>
          <w:lang w:val="en-GB"/>
        </w:rPr>
        <w:t>9</w:t>
      </w:r>
      <w:r w:rsidRPr="0039585C" w:rsidR="00D20414">
        <w:rPr>
          <w:rFonts w:ascii="Calibri Light" w:hAnsi="Calibri Light" w:eastAsia="Calibri" w:cs="Calibri Light"/>
          <w:b/>
          <w:bCs/>
          <w:color w:val="262626"/>
          <w:sz w:val="24"/>
          <w:szCs w:val="24"/>
          <w:lang w:val="en-GB"/>
        </w:rPr>
        <w:t>:2</w:t>
      </w:r>
      <w:r>
        <w:rPr>
          <w:rFonts w:ascii="Calibri Light" w:hAnsi="Calibri Light" w:eastAsia="Calibri" w:cs="Calibri Light"/>
          <w:b/>
          <w:bCs/>
          <w:color w:val="262626"/>
          <w:sz w:val="24"/>
          <w:szCs w:val="24"/>
          <w:lang w:val="en-GB"/>
        </w:rPr>
        <w:t>0</w:t>
      </w:r>
      <w:r w:rsidRPr="0039585C" w:rsidR="00D20414">
        <w:rPr>
          <w:rFonts w:ascii="Calibri Light" w:hAnsi="Calibri Light" w:eastAsia="Calibri" w:cs="Calibri Light"/>
          <w:color w:val="262626"/>
          <w:sz w:val="24"/>
          <w:szCs w:val="24"/>
          <w:lang w:val="en-GB"/>
        </w:rPr>
        <w:t xml:space="preserve"> </w:t>
      </w:r>
      <w:r w:rsidRPr="0039585C" w:rsidR="00D20414">
        <w:rPr>
          <w:rFonts w:ascii="Calibri Light" w:hAnsi="Calibri Light" w:eastAsia="Calibri" w:cs="Calibri Light"/>
          <w:color w:val="262626"/>
          <w:sz w:val="24"/>
          <w:szCs w:val="24"/>
          <w:lang w:val="en-GB"/>
        </w:rPr>
        <w:tab/>
      </w:r>
      <w:r w:rsidRPr="0039585C" w:rsidR="00D20414">
        <w:rPr>
          <w:rFonts w:ascii="Calibri Light" w:hAnsi="Calibri Light" w:eastAsia="Calibri" w:cs="Calibri Light"/>
          <w:sz w:val="24"/>
          <w:szCs w:val="24"/>
          <w:lang w:val="en-GB"/>
        </w:rPr>
        <w:tab/>
      </w:r>
      <w:r w:rsidRPr="0039585C">
        <w:rPr>
          <w:rFonts w:ascii="Calibri Light" w:hAnsi="Calibri Light" w:eastAsia="Calibri" w:cs="Calibri Light"/>
          <w:b/>
          <w:bCs/>
          <w:color w:val="0D0D0D"/>
          <w:w w:val="102"/>
          <w:sz w:val="24"/>
          <w:szCs w:val="24"/>
          <w:lang w:val="en-GB"/>
        </w:rPr>
        <w:t>Health</w:t>
      </w:r>
      <w:r w:rsidRPr="0039585C">
        <w:rPr>
          <w:rFonts w:ascii="Calibri Light" w:hAnsi="Calibri Light" w:eastAsia="Calibri" w:cs="Calibri Light"/>
          <w:b/>
          <w:bCs/>
          <w:color w:val="262626"/>
          <w:sz w:val="24"/>
          <w:szCs w:val="24"/>
          <w:lang w:val="en-GB"/>
        </w:rPr>
        <w:t xml:space="preserve"> </w:t>
      </w:r>
    </w:p>
    <w:p w:rsidR="003C677D" w:rsidP="00EA1163" w:rsidRDefault="00836D14" w14:paraId="2CBF980D" w14:textId="52BA99ED">
      <w:pPr>
        <w:spacing w:line="240" w:lineRule="auto"/>
        <w:rPr>
          <w:rFonts w:ascii="Calibri Light" w:hAnsi="Calibri Light" w:eastAsia="Calibri" w:cs="Calibri Light"/>
          <w:b/>
          <w:bCs/>
          <w:sz w:val="24"/>
          <w:szCs w:val="24"/>
          <w:lang w:val="en-GB"/>
        </w:rPr>
      </w:pPr>
      <w:r w:rsidRPr="5E980BCC">
        <w:rPr>
          <w:rFonts w:ascii="Calibri Light" w:hAnsi="Calibri Light" w:eastAsia="Calibri" w:cs="Calibri Light"/>
          <w:b/>
          <w:color w:val="262626" w:themeColor="text1" w:themeTint="D9"/>
          <w:sz w:val="24"/>
          <w:szCs w:val="24"/>
          <w:lang w:val="en-GB"/>
        </w:rPr>
        <w:t>9:20</w:t>
      </w:r>
      <w:r w:rsidRPr="5E980BCC" w:rsidR="00D20414">
        <w:rPr>
          <w:rFonts w:ascii="Calibri Light" w:hAnsi="Calibri Light" w:eastAsia="Calibri" w:cs="Calibri Light"/>
          <w:b/>
          <w:color w:val="262626" w:themeColor="text1" w:themeTint="D9"/>
          <w:sz w:val="24"/>
          <w:szCs w:val="24"/>
          <w:lang w:val="en-GB"/>
        </w:rPr>
        <w:t xml:space="preserve"> – </w:t>
      </w:r>
      <w:r w:rsidRPr="5E980BCC">
        <w:rPr>
          <w:rFonts w:ascii="Calibri Light" w:hAnsi="Calibri Light" w:eastAsia="Calibri" w:cs="Calibri Light"/>
          <w:b/>
          <w:color w:val="262626" w:themeColor="text1" w:themeTint="D9"/>
          <w:sz w:val="24"/>
          <w:szCs w:val="24"/>
          <w:lang w:val="en-GB"/>
        </w:rPr>
        <w:t>9</w:t>
      </w:r>
      <w:r w:rsidRPr="5E980BCC" w:rsidR="00D20414">
        <w:rPr>
          <w:rFonts w:ascii="Calibri Light" w:hAnsi="Calibri Light" w:eastAsia="Calibri" w:cs="Calibri Light"/>
          <w:b/>
          <w:color w:val="262626" w:themeColor="text1" w:themeTint="D9"/>
          <w:sz w:val="24"/>
          <w:szCs w:val="24"/>
          <w:lang w:val="en-GB"/>
        </w:rPr>
        <w:t>:</w:t>
      </w:r>
      <w:r w:rsidRPr="5E980BCC" w:rsidR="00891C2F">
        <w:rPr>
          <w:rFonts w:ascii="Calibri Light" w:hAnsi="Calibri Light" w:eastAsia="Calibri" w:cs="Calibri Light"/>
          <w:b/>
          <w:color w:val="262626" w:themeColor="text1" w:themeTint="D9"/>
          <w:sz w:val="24"/>
          <w:szCs w:val="24"/>
          <w:lang w:val="en-GB"/>
        </w:rPr>
        <w:t>40</w:t>
      </w:r>
      <w:r w:rsidR="00D20414">
        <w:tab/>
      </w:r>
      <w:r w:rsidR="00D20414">
        <w:tab/>
      </w:r>
      <w:r w:rsidRPr="00F31A26" w:rsidR="00F31A26">
        <w:rPr>
          <w:rFonts w:ascii="Calibri Light" w:hAnsi="Calibri Light" w:eastAsia="Calibri" w:cs="Calibri Light"/>
          <w:b/>
          <w:bCs/>
          <w:sz w:val="24"/>
          <w:szCs w:val="24"/>
          <w:lang w:val="en-GB"/>
        </w:rPr>
        <w:t>Early Recovery and Livelihoods (ERL)</w:t>
      </w:r>
    </w:p>
    <w:p w:rsidRPr="003C677D" w:rsidR="003C677D" w:rsidP="003C677D" w:rsidRDefault="003C677D" w14:paraId="3DB66177" w14:textId="26C359BB">
      <w:pPr>
        <w:pStyle w:val="NormalWeb"/>
        <w:spacing w:after="165" w:afterAutospacing="0"/>
        <w:rPr>
          <w:rFonts w:ascii="Calibri Light" w:hAnsi="Calibri Light" w:eastAsia="Calibri" w:cs="Calibri Light"/>
          <w:b/>
          <w:bCs/>
          <w:color w:val="262626"/>
          <w:lang w:val="en-GB" w:eastAsia="en-US"/>
        </w:rPr>
      </w:pPr>
      <w:r w:rsidRPr="5E980BCC">
        <w:rPr>
          <w:rFonts w:ascii="Calibri Light" w:hAnsi="Calibri Light" w:eastAsia="Calibri" w:cs="Calibri Light"/>
          <w:b/>
          <w:color w:val="262626" w:themeColor="text1" w:themeTint="D9"/>
          <w:lang w:val="en-GB" w:eastAsia="en-US"/>
        </w:rPr>
        <w:t>9:40 – 10:00                 Shelter and Non-Food Items (S/NFI)</w:t>
      </w:r>
    </w:p>
    <w:p w:rsidRPr="003C677D" w:rsidR="003C677D" w:rsidP="003C677D" w:rsidRDefault="003C677D" w14:paraId="18C5EB19" w14:textId="5CFFF090">
      <w:pPr>
        <w:pStyle w:val="NormalWeb"/>
        <w:spacing w:after="165" w:afterAutospacing="0"/>
        <w:rPr>
          <w:rFonts w:ascii="Calibri Light" w:hAnsi="Calibri Light" w:eastAsia="Calibri" w:cs="Calibri Light"/>
          <w:b/>
          <w:bCs/>
          <w:color w:val="262626"/>
          <w:lang w:val="en-GB" w:eastAsia="en-US"/>
        </w:rPr>
      </w:pPr>
      <w:r w:rsidRPr="5E980BCC">
        <w:rPr>
          <w:rFonts w:ascii="Calibri Light" w:hAnsi="Calibri Light" w:eastAsia="Calibri" w:cs="Calibri Light"/>
          <w:b/>
          <w:color w:val="262626" w:themeColor="text1" w:themeTint="D9"/>
          <w:lang w:val="en-GB" w:eastAsia="en-US"/>
        </w:rPr>
        <w:t>10:00</w:t>
      </w:r>
      <w:r w:rsidR="003531E0">
        <w:rPr>
          <w:rFonts w:ascii="Calibri Light" w:hAnsi="Calibri Light" w:eastAsia="Calibri" w:cs="Calibri Light"/>
          <w:b/>
          <w:color w:val="262626" w:themeColor="text1" w:themeTint="D9"/>
          <w:lang w:val="en-GB" w:eastAsia="en-US"/>
        </w:rPr>
        <w:t xml:space="preserve"> </w:t>
      </w:r>
      <w:r w:rsidRPr="5E980BCC" w:rsidR="003531E0">
        <w:rPr>
          <w:rFonts w:ascii="Calibri Light" w:hAnsi="Calibri Light" w:eastAsia="Calibri" w:cs="Calibri Light"/>
          <w:b/>
          <w:color w:val="262626" w:themeColor="text1" w:themeTint="D9"/>
          <w:lang w:val="en-GB" w:eastAsia="en-US"/>
        </w:rPr>
        <w:t xml:space="preserve">– </w:t>
      </w:r>
      <w:r w:rsidRPr="5E980BCC">
        <w:rPr>
          <w:rFonts w:ascii="Calibri Light" w:hAnsi="Calibri Light" w:eastAsia="Calibri" w:cs="Calibri Light"/>
          <w:b/>
          <w:color w:val="262626" w:themeColor="text1" w:themeTint="D9"/>
          <w:lang w:val="en-GB" w:eastAsia="en-US"/>
        </w:rPr>
        <w:t>10:20               Water, Sanitation and Hygiene (WASH)</w:t>
      </w:r>
    </w:p>
    <w:p w:rsidRPr="0039585C" w:rsidR="00D20414" w:rsidP="00EA1163" w:rsidRDefault="00D20414" w14:paraId="1BE1A2FC" w14:textId="4B3B1480">
      <w:pPr>
        <w:spacing w:line="240" w:lineRule="auto"/>
        <w:rPr>
          <w:rFonts w:ascii="Calibri Light" w:hAnsi="Calibri Light" w:eastAsia="Calibri" w:cs="Calibri Light"/>
          <w:b/>
          <w:bCs/>
          <w:color w:val="262626"/>
          <w:sz w:val="24"/>
          <w:szCs w:val="24"/>
          <w:lang w:val="en-GB"/>
        </w:rPr>
      </w:pPr>
      <w:r w:rsidRPr="0039585C">
        <w:rPr>
          <w:rFonts w:ascii="Calibri Light" w:hAnsi="Calibri Light" w:eastAsia="Calibri" w:cs="Calibri Light"/>
          <w:b/>
          <w:bCs/>
          <w:color w:val="262626"/>
          <w:sz w:val="24"/>
          <w:szCs w:val="24"/>
          <w:lang w:val="en-GB"/>
        </w:rPr>
        <w:t>1</w:t>
      </w:r>
      <w:r w:rsidR="003C5072">
        <w:rPr>
          <w:rFonts w:ascii="Calibri Light" w:hAnsi="Calibri Light" w:eastAsia="Calibri" w:cs="Calibri Light"/>
          <w:b/>
          <w:bCs/>
          <w:color w:val="262626"/>
          <w:sz w:val="24"/>
          <w:szCs w:val="24"/>
          <w:lang w:val="en-GB"/>
        </w:rPr>
        <w:t>0</w:t>
      </w:r>
      <w:r w:rsidRPr="0039585C">
        <w:rPr>
          <w:rFonts w:ascii="Calibri Light" w:hAnsi="Calibri Light" w:eastAsia="Calibri" w:cs="Calibri Light"/>
          <w:b/>
          <w:bCs/>
          <w:color w:val="262626"/>
          <w:sz w:val="24"/>
          <w:szCs w:val="24"/>
          <w:lang w:val="en-GB"/>
        </w:rPr>
        <w:t>:</w:t>
      </w:r>
      <w:r w:rsidR="00780878">
        <w:rPr>
          <w:rFonts w:ascii="Calibri Light" w:hAnsi="Calibri Light" w:eastAsia="Calibri" w:cs="Calibri Light"/>
          <w:b/>
          <w:bCs/>
          <w:color w:val="262626"/>
          <w:sz w:val="24"/>
          <w:szCs w:val="24"/>
          <w:lang w:val="en-GB"/>
        </w:rPr>
        <w:t>2</w:t>
      </w:r>
      <w:r w:rsidR="003C5072">
        <w:rPr>
          <w:rFonts w:ascii="Calibri Light" w:hAnsi="Calibri Light" w:eastAsia="Calibri" w:cs="Calibri Light"/>
          <w:b/>
          <w:bCs/>
          <w:color w:val="262626"/>
          <w:sz w:val="24"/>
          <w:szCs w:val="24"/>
          <w:lang w:val="en-GB"/>
        </w:rPr>
        <w:t>0</w:t>
      </w:r>
      <w:r w:rsidRPr="0039585C">
        <w:rPr>
          <w:rFonts w:ascii="Calibri Light" w:hAnsi="Calibri Light" w:eastAsia="Calibri" w:cs="Calibri Light"/>
          <w:b/>
          <w:bCs/>
          <w:color w:val="262626"/>
          <w:sz w:val="24"/>
          <w:szCs w:val="24"/>
          <w:lang w:val="en-GB"/>
        </w:rPr>
        <w:t xml:space="preserve"> – 1</w:t>
      </w:r>
      <w:r w:rsidR="003C5072">
        <w:rPr>
          <w:rFonts w:ascii="Calibri Light" w:hAnsi="Calibri Light" w:eastAsia="Calibri" w:cs="Calibri Light"/>
          <w:b/>
          <w:bCs/>
          <w:color w:val="262626"/>
          <w:sz w:val="24"/>
          <w:szCs w:val="24"/>
          <w:lang w:val="en-GB"/>
        </w:rPr>
        <w:t>0</w:t>
      </w:r>
      <w:r w:rsidRPr="0039585C">
        <w:rPr>
          <w:rFonts w:ascii="Calibri Light" w:hAnsi="Calibri Light" w:eastAsia="Calibri" w:cs="Calibri Light"/>
          <w:b/>
          <w:bCs/>
          <w:color w:val="262626"/>
          <w:sz w:val="24"/>
          <w:szCs w:val="24"/>
          <w:lang w:val="en-GB"/>
        </w:rPr>
        <w:t>:</w:t>
      </w:r>
      <w:r w:rsidR="00780878">
        <w:rPr>
          <w:rFonts w:ascii="Calibri Light" w:hAnsi="Calibri Light" w:eastAsia="Calibri" w:cs="Calibri Light"/>
          <w:b/>
          <w:bCs/>
          <w:color w:val="262626"/>
          <w:sz w:val="24"/>
          <w:szCs w:val="24"/>
          <w:lang w:val="en-GB"/>
        </w:rPr>
        <w:t>30</w:t>
      </w:r>
      <w:r w:rsidRPr="0039585C">
        <w:rPr>
          <w:rFonts w:ascii="Calibri Light" w:hAnsi="Calibri Light" w:eastAsia="Calibri" w:cs="Calibri Light"/>
          <w:b/>
          <w:bCs/>
          <w:color w:val="262626"/>
          <w:sz w:val="24"/>
          <w:szCs w:val="24"/>
          <w:lang w:val="en-GB"/>
        </w:rPr>
        <w:t xml:space="preserve"> </w:t>
      </w:r>
      <w:r w:rsidRPr="0039585C">
        <w:rPr>
          <w:rFonts w:ascii="Calibri Light" w:hAnsi="Calibri Light" w:eastAsia="Calibri" w:cs="Calibri Light"/>
          <w:b/>
          <w:bCs/>
          <w:color w:val="262626"/>
          <w:sz w:val="24"/>
          <w:szCs w:val="24"/>
          <w:lang w:val="en-GB"/>
        </w:rPr>
        <w:tab/>
      </w:r>
      <w:r w:rsidRPr="0039585C">
        <w:rPr>
          <w:rFonts w:ascii="Calibri Light" w:hAnsi="Calibri Light" w:eastAsia="Calibri" w:cs="Calibri Light"/>
          <w:sz w:val="24"/>
          <w:szCs w:val="24"/>
          <w:lang w:val="en-GB"/>
        </w:rPr>
        <w:tab/>
      </w:r>
      <w:r w:rsidR="00780878">
        <w:rPr>
          <w:rFonts w:ascii="Calibri Light" w:hAnsi="Calibri Light" w:eastAsia="Calibri" w:cs="Calibri Light"/>
          <w:b/>
          <w:bCs/>
          <w:color w:val="0D0D0D"/>
          <w:w w:val="102"/>
          <w:sz w:val="24"/>
          <w:szCs w:val="24"/>
          <w:lang w:val="en-GB"/>
        </w:rPr>
        <w:t>C</w:t>
      </w:r>
      <w:r w:rsidR="003531E0">
        <w:rPr>
          <w:rFonts w:ascii="Calibri Light" w:hAnsi="Calibri Light" w:eastAsia="Calibri" w:cs="Calibri Light"/>
          <w:b/>
          <w:bCs/>
          <w:color w:val="0D0D0D"/>
          <w:w w:val="102"/>
          <w:sz w:val="24"/>
          <w:szCs w:val="24"/>
          <w:lang w:val="en-GB"/>
        </w:rPr>
        <w:t>amp Coordination and Camp Management (</w:t>
      </w:r>
      <w:r w:rsidR="00780878">
        <w:rPr>
          <w:rFonts w:ascii="Calibri Light" w:hAnsi="Calibri Light" w:eastAsia="Calibri" w:cs="Calibri Light"/>
          <w:b/>
          <w:bCs/>
          <w:color w:val="0D0D0D"/>
          <w:w w:val="102"/>
          <w:sz w:val="24"/>
          <w:szCs w:val="24"/>
          <w:lang w:val="en-GB"/>
        </w:rPr>
        <w:t>C</w:t>
      </w:r>
      <w:r w:rsidR="003531E0">
        <w:rPr>
          <w:rFonts w:ascii="Calibri Light" w:hAnsi="Calibri Light" w:eastAsia="Calibri" w:cs="Calibri Light"/>
          <w:b/>
          <w:bCs/>
          <w:color w:val="0D0D0D"/>
          <w:w w:val="102"/>
          <w:sz w:val="24"/>
          <w:szCs w:val="24"/>
          <w:lang w:val="en-GB"/>
        </w:rPr>
        <w:t>C</w:t>
      </w:r>
      <w:r w:rsidR="00780878">
        <w:rPr>
          <w:rFonts w:ascii="Calibri Light" w:hAnsi="Calibri Light" w:eastAsia="Calibri" w:cs="Calibri Light"/>
          <w:b/>
          <w:bCs/>
          <w:color w:val="0D0D0D"/>
          <w:w w:val="102"/>
          <w:sz w:val="24"/>
          <w:szCs w:val="24"/>
          <w:lang w:val="en-GB"/>
        </w:rPr>
        <w:t>CM</w:t>
      </w:r>
      <w:r w:rsidR="003531E0">
        <w:rPr>
          <w:rFonts w:ascii="Calibri Light" w:hAnsi="Calibri Light" w:eastAsia="Calibri" w:cs="Calibri Light"/>
          <w:b/>
          <w:bCs/>
          <w:color w:val="0D0D0D"/>
          <w:w w:val="102"/>
          <w:sz w:val="24"/>
          <w:szCs w:val="24"/>
          <w:lang w:val="en-GB"/>
        </w:rPr>
        <w:t>)</w:t>
      </w:r>
    </w:p>
    <w:p w:rsidRPr="0039585C" w:rsidR="00D20414" w:rsidP="00EA1163" w:rsidRDefault="00D20414" w14:paraId="3A365299" w14:textId="3E9BC0B0">
      <w:pPr>
        <w:spacing w:line="240" w:lineRule="auto"/>
        <w:rPr>
          <w:rFonts w:ascii="Calibri Light" w:hAnsi="Calibri Light" w:eastAsia="Calibri" w:cs="Calibri Light"/>
          <w:b/>
          <w:bCs/>
          <w:color w:val="262626"/>
          <w:w w:val="102"/>
          <w:sz w:val="24"/>
          <w:szCs w:val="24"/>
          <w:lang w:val="en-GB"/>
        </w:rPr>
      </w:pPr>
      <w:r w:rsidRPr="0039585C">
        <w:rPr>
          <w:rFonts w:ascii="Calibri Light" w:hAnsi="Calibri Light" w:eastAsia="Calibri" w:cs="Calibri Light"/>
          <w:b/>
          <w:bCs/>
          <w:color w:val="262626"/>
          <w:sz w:val="24"/>
          <w:szCs w:val="24"/>
          <w:lang w:val="en-GB"/>
        </w:rPr>
        <w:t>1</w:t>
      </w:r>
      <w:r w:rsidR="008A6F3E">
        <w:rPr>
          <w:rFonts w:ascii="Calibri Light" w:hAnsi="Calibri Light" w:eastAsia="Calibri" w:cs="Calibri Light"/>
          <w:b/>
          <w:bCs/>
          <w:color w:val="262626"/>
          <w:sz w:val="24"/>
          <w:szCs w:val="24"/>
          <w:lang w:val="en-GB"/>
        </w:rPr>
        <w:t>0</w:t>
      </w:r>
      <w:r w:rsidRPr="0039585C">
        <w:rPr>
          <w:rFonts w:ascii="Calibri Light" w:hAnsi="Calibri Light" w:eastAsia="Calibri" w:cs="Calibri Light"/>
          <w:b/>
          <w:bCs/>
          <w:color w:val="262626"/>
          <w:sz w:val="24"/>
          <w:szCs w:val="24"/>
          <w:lang w:val="en-GB"/>
        </w:rPr>
        <w:t>:</w:t>
      </w:r>
      <w:r w:rsidR="00367E1D">
        <w:rPr>
          <w:rFonts w:ascii="Calibri Light" w:hAnsi="Calibri Light" w:eastAsia="Calibri" w:cs="Calibri Light"/>
          <w:b/>
          <w:bCs/>
          <w:color w:val="262626"/>
          <w:sz w:val="24"/>
          <w:szCs w:val="24"/>
          <w:lang w:val="en-GB"/>
        </w:rPr>
        <w:t>30</w:t>
      </w:r>
      <w:r w:rsidRPr="0039585C">
        <w:rPr>
          <w:rFonts w:ascii="Calibri Light" w:hAnsi="Calibri Light" w:eastAsia="Calibri" w:cs="Calibri Light"/>
          <w:b/>
          <w:bCs/>
          <w:color w:val="262626"/>
          <w:sz w:val="24"/>
          <w:szCs w:val="24"/>
          <w:lang w:val="en-GB"/>
        </w:rPr>
        <w:t xml:space="preserve"> – </w:t>
      </w:r>
      <w:r w:rsidR="008A6F3E">
        <w:rPr>
          <w:rFonts w:ascii="Calibri Light" w:hAnsi="Calibri Light" w:eastAsia="Calibri" w:cs="Calibri Light"/>
          <w:b/>
          <w:bCs/>
          <w:color w:val="262626"/>
          <w:sz w:val="24"/>
          <w:szCs w:val="24"/>
          <w:lang w:val="en-GB"/>
        </w:rPr>
        <w:t>1</w:t>
      </w:r>
      <w:r w:rsidR="00367E1D">
        <w:rPr>
          <w:rFonts w:ascii="Calibri Light" w:hAnsi="Calibri Light" w:eastAsia="Calibri" w:cs="Calibri Light"/>
          <w:b/>
          <w:bCs/>
          <w:color w:val="262626"/>
          <w:sz w:val="24"/>
          <w:szCs w:val="24"/>
          <w:lang w:val="en-GB"/>
        </w:rPr>
        <w:t>0</w:t>
      </w:r>
      <w:r w:rsidRPr="0039585C">
        <w:rPr>
          <w:rFonts w:ascii="Calibri Light" w:hAnsi="Calibri Light" w:eastAsia="Calibri" w:cs="Calibri Light"/>
          <w:b/>
          <w:bCs/>
          <w:color w:val="262626"/>
          <w:sz w:val="24"/>
          <w:szCs w:val="24"/>
          <w:lang w:val="en-GB"/>
        </w:rPr>
        <w:t>:</w:t>
      </w:r>
      <w:r w:rsidR="00367E1D">
        <w:rPr>
          <w:rFonts w:ascii="Calibri Light" w:hAnsi="Calibri Light" w:eastAsia="Calibri" w:cs="Calibri Light"/>
          <w:b/>
          <w:bCs/>
          <w:color w:val="262626"/>
          <w:sz w:val="24"/>
          <w:szCs w:val="24"/>
          <w:lang w:val="en-GB"/>
        </w:rPr>
        <w:t>5</w:t>
      </w:r>
      <w:r w:rsidR="008A6F3E">
        <w:rPr>
          <w:rFonts w:ascii="Calibri Light" w:hAnsi="Calibri Light" w:eastAsia="Calibri" w:cs="Calibri Light"/>
          <w:b/>
          <w:bCs/>
          <w:color w:val="262626"/>
          <w:sz w:val="24"/>
          <w:szCs w:val="24"/>
          <w:lang w:val="en-GB"/>
        </w:rPr>
        <w:t>0</w:t>
      </w:r>
      <w:r w:rsidRPr="0039585C">
        <w:rPr>
          <w:rFonts w:ascii="Calibri Light" w:hAnsi="Calibri Light" w:eastAsia="Calibri" w:cs="Calibri Light"/>
          <w:b/>
          <w:bCs/>
          <w:color w:val="262626"/>
          <w:sz w:val="24"/>
          <w:szCs w:val="24"/>
          <w:lang w:val="en-GB"/>
        </w:rPr>
        <w:tab/>
      </w:r>
      <w:r w:rsidRPr="0039585C">
        <w:rPr>
          <w:rFonts w:ascii="Calibri Light" w:hAnsi="Calibri Light" w:eastAsia="Calibri" w:cs="Calibri Light"/>
          <w:sz w:val="24"/>
          <w:szCs w:val="24"/>
          <w:lang w:val="en-GB"/>
        </w:rPr>
        <w:tab/>
      </w:r>
      <w:r w:rsidR="00367E1D">
        <w:rPr>
          <w:rFonts w:ascii="Calibri Light" w:hAnsi="Calibri Light" w:eastAsia="Calibri" w:cs="Calibri Light"/>
          <w:b/>
          <w:bCs/>
          <w:color w:val="0D0D0D"/>
          <w:w w:val="102"/>
          <w:sz w:val="24"/>
          <w:szCs w:val="24"/>
          <w:lang w:val="en-GB"/>
        </w:rPr>
        <w:t>Education</w:t>
      </w:r>
    </w:p>
    <w:p w:rsidRPr="0039585C" w:rsidR="00D20414" w:rsidP="00EA1163" w:rsidRDefault="00D20414" w14:paraId="510B8223" w14:textId="2775BE72">
      <w:pPr>
        <w:spacing w:line="240" w:lineRule="auto"/>
        <w:rPr>
          <w:rFonts w:ascii="Calibri Light" w:hAnsi="Calibri Light" w:eastAsia="Calibri" w:cs="Calibri Light"/>
          <w:b/>
          <w:bCs/>
          <w:color w:val="262626"/>
          <w:w w:val="102"/>
          <w:sz w:val="24"/>
          <w:szCs w:val="24"/>
          <w:lang w:val="en-GB"/>
        </w:rPr>
      </w:pPr>
      <w:r w:rsidRPr="0039585C">
        <w:rPr>
          <w:rFonts w:ascii="Calibri Light" w:hAnsi="Calibri Light" w:eastAsia="Calibri" w:cs="Calibri Light"/>
          <w:b/>
          <w:bCs/>
          <w:color w:val="262626"/>
          <w:sz w:val="24"/>
          <w:szCs w:val="24"/>
          <w:lang w:val="en-GB"/>
        </w:rPr>
        <w:t>1</w:t>
      </w:r>
      <w:r w:rsidR="00367E1D">
        <w:rPr>
          <w:rFonts w:ascii="Calibri Light" w:hAnsi="Calibri Light" w:eastAsia="Calibri" w:cs="Calibri Light"/>
          <w:b/>
          <w:bCs/>
          <w:color w:val="262626"/>
          <w:sz w:val="24"/>
          <w:szCs w:val="24"/>
          <w:lang w:val="en-GB"/>
        </w:rPr>
        <w:t>0</w:t>
      </w:r>
      <w:r w:rsidRPr="0039585C">
        <w:rPr>
          <w:rFonts w:ascii="Calibri Light" w:hAnsi="Calibri Light" w:eastAsia="Calibri" w:cs="Calibri Light"/>
          <w:b/>
          <w:bCs/>
          <w:color w:val="262626"/>
          <w:sz w:val="24"/>
          <w:szCs w:val="24"/>
          <w:lang w:val="en-GB"/>
        </w:rPr>
        <w:t>:</w:t>
      </w:r>
      <w:r w:rsidR="00367E1D">
        <w:rPr>
          <w:rFonts w:ascii="Calibri Light" w:hAnsi="Calibri Light" w:eastAsia="Calibri" w:cs="Calibri Light"/>
          <w:b/>
          <w:bCs/>
          <w:color w:val="262626"/>
          <w:sz w:val="24"/>
          <w:szCs w:val="24"/>
          <w:lang w:val="en-GB"/>
        </w:rPr>
        <w:t>5</w:t>
      </w:r>
      <w:r w:rsidRPr="0039585C">
        <w:rPr>
          <w:rFonts w:ascii="Calibri Light" w:hAnsi="Calibri Light" w:eastAsia="Calibri" w:cs="Calibri Light"/>
          <w:b/>
          <w:bCs/>
          <w:color w:val="262626"/>
          <w:sz w:val="24"/>
          <w:szCs w:val="24"/>
          <w:lang w:val="en-GB"/>
        </w:rPr>
        <w:t>0 – 1</w:t>
      </w:r>
      <w:r w:rsidR="008A6F3E">
        <w:rPr>
          <w:rFonts w:ascii="Calibri Light" w:hAnsi="Calibri Light" w:eastAsia="Calibri" w:cs="Calibri Light"/>
          <w:b/>
          <w:bCs/>
          <w:color w:val="262626"/>
          <w:sz w:val="24"/>
          <w:szCs w:val="24"/>
          <w:lang w:val="en-GB"/>
        </w:rPr>
        <w:t>1</w:t>
      </w:r>
      <w:r w:rsidRPr="0039585C">
        <w:rPr>
          <w:rFonts w:ascii="Calibri Light" w:hAnsi="Calibri Light" w:eastAsia="Calibri" w:cs="Calibri Light"/>
          <w:b/>
          <w:bCs/>
          <w:color w:val="262626"/>
          <w:sz w:val="24"/>
          <w:szCs w:val="24"/>
          <w:lang w:val="en-GB"/>
        </w:rPr>
        <w:t>:</w:t>
      </w:r>
      <w:r w:rsidR="00367E1D">
        <w:rPr>
          <w:rFonts w:ascii="Calibri Light" w:hAnsi="Calibri Light" w:eastAsia="Calibri" w:cs="Calibri Light"/>
          <w:b/>
          <w:bCs/>
          <w:color w:val="262626"/>
          <w:sz w:val="24"/>
          <w:szCs w:val="24"/>
          <w:lang w:val="en-GB"/>
        </w:rPr>
        <w:t>1</w:t>
      </w:r>
      <w:r w:rsidRPr="0039585C">
        <w:rPr>
          <w:rFonts w:ascii="Calibri Light" w:hAnsi="Calibri Light" w:eastAsia="Calibri" w:cs="Calibri Light"/>
          <w:b/>
          <w:bCs/>
          <w:color w:val="262626"/>
          <w:sz w:val="24"/>
          <w:szCs w:val="24"/>
          <w:lang w:val="en-GB"/>
        </w:rPr>
        <w:t>0</w:t>
      </w:r>
      <w:r w:rsidRPr="0039585C">
        <w:rPr>
          <w:rFonts w:ascii="Calibri Light" w:hAnsi="Calibri Light" w:eastAsia="Calibri" w:cs="Calibri Light"/>
          <w:b/>
          <w:bCs/>
          <w:color w:val="262626"/>
          <w:sz w:val="24"/>
          <w:szCs w:val="24"/>
          <w:lang w:val="en-GB"/>
        </w:rPr>
        <w:tab/>
      </w:r>
      <w:r w:rsidRPr="0039585C">
        <w:rPr>
          <w:rFonts w:ascii="Calibri Light" w:hAnsi="Calibri Light" w:eastAsia="Calibri" w:cs="Calibri Light"/>
          <w:b/>
          <w:bCs/>
          <w:color w:val="262626"/>
          <w:sz w:val="24"/>
          <w:szCs w:val="24"/>
          <w:lang w:val="en-GB"/>
        </w:rPr>
        <w:tab/>
      </w:r>
      <w:r w:rsidRPr="0039585C">
        <w:rPr>
          <w:rFonts w:ascii="Calibri Light" w:hAnsi="Calibri Light" w:eastAsia="Calibri" w:cs="Calibri Light"/>
          <w:b/>
          <w:bCs/>
          <w:color w:val="0D0D0D"/>
          <w:w w:val="102"/>
          <w:sz w:val="24"/>
          <w:szCs w:val="24"/>
          <w:lang w:val="en-GB"/>
        </w:rPr>
        <w:t>Food Security and Agriculture (FSA)</w:t>
      </w:r>
    </w:p>
    <w:p w:rsidRPr="0039585C" w:rsidR="00D20414" w:rsidP="00EA1163" w:rsidRDefault="00D20414" w14:paraId="418C484A" w14:textId="797FBB50">
      <w:pPr>
        <w:spacing w:line="240" w:lineRule="auto"/>
        <w:rPr>
          <w:rFonts w:ascii="Calibri Light" w:hAnsi="Calibri Light" w:eastAsia="Calibri" w:cs="Calibri Light"/>
          <w:b/>
          <w:bCs/>
          <w:color w:val="0D0D0D"/>
          <w:w w:val="102"/>
          <w:sz w:val="24"/>
          <w:szCs w:val="24"/>
          <w:lang w:val="en-GB"/>
        </w:rPr>
      </w:pPr>
      <w:r w:rsidRPr="0039585C">
        <w:rPr>
          <w:rFonts w:ascii="Calibri Light" w:hAnsi="Calibri Light" w:eastAsia="Calibri" w:cs="Calibri Light"/>
          <w:b/>
          <w:bCs/>
          <w:color w:val="262626"/>
          <w:sz w:val="24"/>
          <w:szCs w:val="24"/>
          <w:lang w:val="en-GB"/>
        </w:rPr>
        <w:t>1</w:t>
      </w:r>
      <w:r w:rsidR="008A6F3E">
        <w:rPr>
          <w:rFonts w:ascii="Calibri Light" w:hAnsi="Calibri Light" w:eastAsia="Calibri" w:cs="Calibri Light"/>
          <w:b/>
          <w:bCs/>
          <w:color w:val="262626"/>
          <w:sz w:val="24"/>
          <w:szCs w:val="24"/>
          <w:lang w:val="en-GB"/>
        </w:rPr>
        <w:t>1</w:t>
      </w:r>
      <w:r w:rsidRPr="0039585C">
        <w:rPr>
          <w:rFonts w:ascii="Calibri Light" w:hAnsi="Calibri Light" w:eastAsia="Calibri" w:cs="Calibri Light"/>
          <w:b/>
          <w:bCs/>
          <w:color w:val="262626"/>
          <w:sz w:val="24"/>
          <w:szCs w:val="24"/>
          <w:lang w:val="en-GB"/>
        </w:rPr>
        <w:t>:</w:t>
      </w:r>
      <w:r w:rsidR="00367E1D">
        <w:rPr>
          <w:rFonts w:ascii="Calibri Light" w:hAnsi="Calibri Light" w:eastAsia="Calibri" w:cs="Calibri Light"/>
          <w:b/>
          <w:bCs/>
          <w:color w:val="262626"/>
          <w:sz w:val="24"/>
          <w:szCs w:val="24"/>
          <w:lang w:val="en-GB"/>
        </w:rPr>
        <w:t>1</w:t>
      </w:r>
      <w:r w:rsidRPr="0039585C">
        <w:rPr>
          <w:rFonts w:ascii="Calibri Light" w:hAnsi="Calibri Light" w:eastAsia="Calibri" w:cs="Calibri Light"/>
          <w:b/>
          <w:bCs/>
          <w:color w:val="262626"/>
          <w:sz w:val="24"/>
          <w:szCs w:val="24"/>
          <w:lang w:val="en-GB"/>
        </w:rPr>
        <w:t>0 – 1</w:t>
      </w:r>
      <w:r w:rsidR="008A6F3E">
        <w:rPr>
          <w:rFonts w:ascii="Calibri Light" w:hAnsi="Calibri Light" w:eastAsia="Calibri" w:cs="Calibri Light"/>
          <w:b/>
          <w:bCs/>
          <w:color w:val="262626"/>
          <w:sz w:val="24"/>
          <w:szCs w:val="24"/>
          <w:lang w:val="en-GB"/>
        </w:rPr>
        <w:t>1</w:t>
      </w:r>
      <w:r w:rsidRPr="0039585C">
        <w:rPr>
          <w:rFonts w:ascii="Calibri Light" w:hAnsi="Calibri Light" w:eastAsia="Calibri" w:cs="Calibri Light"/>
          <w:b/>
          <w:bCs/>
          <w:color w:val="262626"/>
          <w:sz w:val="24"/>
          <w:szCs w:val="24"/>
          <w:lang w:val="en-GB"/>
        </w:rPr>
        <w:t>:</w:t>
      </w:r>
      <w:r w:rsidR="001F0DBA">
        <w:rPr>
          <w:rFonts w:ascii="Calibri Light" w:hAnsi="Calibri Light" w:eastAsia="Calibri" w:cs="Calibri Light"/>
          <w:b/>
          <w:bCs/>
          <w:color w:val="262626"/>
          <w:sz w:val="24"/>
          <w:szCs w:val="24"/>
          <w:lang w:val="en-GB"/>
        </w:rPr>
        <w:t>2</w:t>
      </w:r>
      <w:r w:rsidR="008A6F3E">
        <w:rPr>
          <w:rFonts w:ascii="Calibri Light" w:hAnsi="Calibri Light" w:eastAsia="Calibri" w:cs="Calibri Light"/>
          <w:b/>
          <w:bCs/>
          <w:color w:val="262626"/>
          <w:sz w:val="24"/>
          <w:szCs w:val="24"/>
          <w:lang w:val="en-GB"/>
        </w:rPr>
        <w:t>0</w:t>
      </w:r>
      <w:r w:rsidRPr="0039585C">
        <w:rPr>
          <w:rFonts w:ascii="Calibri Light" w:hAnsi="Calibri Light" w:eastAsia="Calibri" w:cs="Calibri Light"/>
          <w:sz w:val="24"/>
          <w:szCs w:val="24"/>
          <w:lang w:val="en-GB"/>
        </w:rPr>
        <w:tab/>
      </w:r>
      <w:r w:rsidRPr="0039585C">
        <w:rPr>
          <w:rFonts w:ascii="Calibri Light" w:hAnsi="Calibri Light" w:eastAsia="Calibri" w:cs="Calibri Light"/>
          <w:sz w:val="24"/>
          <w:szCs w:val="24"/>
          <w:lang w:val="en-GB"/>
        </w:rPr>
        <w:tab/>
      </w:r>
      <w:r w:rsidR="001F0DBA">
        <w:rPr>
          <w:rFonts w:ascii="Calibri Light" w:hAnsi="Calibri Light" w:eastAsia="Calibri" w:cs="Calibri Light"/>
          <w:b/>
          <w:bCs/>
          <w:color w:val="0D0D0D"/>
          <w:w w:val="102"/>
          <w:sz w:val="24"/>
          <w:szCs w:val="24"/>
          <w:lang w:val="en-GB"/>
        </w:rPr>
        <w:t>Nutrition</w:t>
      </w:r>
    </w:p>
    <w:p w:rsidR="00D20414" w:rsidP="00EA1163" w:rsidRDefault="00D20414" w14:paraId="3DBE14FA" w14:textId="26FFC356">
      <w:pPr>
        <w:spacing w:line="240" w:lineRule="auto"/>
        <w:rPr>
          <w:rFonts w:ascii="Calibri Light" w:hAnsi="Calibri Light" w:eastAsia="Calibri" w:cs="Calibri Light"/>
          <w:b/>
          <w:bCs/>
          <w:color w:val="0D0D0D"/>
          <w:w w:val="102"/>
          <w:sz w:val="24"/>
          <w:szCs w:val="24"/>
          <w:lang w:val="en-GB"/>
        </w:rPr>
      </w:pPr>
      <w:r w:rsidRPr="0039585C">
        <w:rPr>
          <w:rFonts w:ascii="Calibri Light" w:hAnsi="Calibri Light" w:eastAsia="Calibri" w:cs="Calibri Light"/>
          <w:b/>
          <w:bCs/>
          <w:color w:val="262626"/>
          <w:sz w:val="24"/>
          <w:szCs w:val="24"/>
          <w:lang w:val="en-GB"/>
        </w:rPr>
        <w:t>1</w:t>
      </w:r>
      <w:r w:rsidR="0070089A">
        <w:rPr>
          <w:rFonts w:ascii="Calibri Light" w:hAnsi="Calibri Light" w:eastAsia="Calibri" w:cs="Calibri Light"/>
          <w:b/>
          <w:bCs/>
          <w:color w:val="262626"/>
          <w:sz w:val="24"/>
          <w:szCs w:val="24"/>
          <w:lang w:val="en-GB"/>
        </w:rPr>
        <w:t>1</w:t>
      </w:r>
      <w:r w:rsidRPr="0039585C">
        <w:rPr>
          <w:rFonts w:ascii="Calibri Light" w:hAnsi="Calibri Light" w:eastAsia="Calibri" w:cs="Calibri Light"/>
          <w:b/>
          <w:bCs/>
          <w:color w:val="262626"/>
          <w:sz w:val="24"/>
          <w:szCs w:val="24"/>
          <w:lang w:val="en-GB"/>
        </w:rPr>
        <w:t>:</w:t>
      </w:r>
      <w:r w:rsidR="001F0DBA">
        <w:rPr>
          <w:rFonts w:ascii="Calibri Light" w:hAnsi="Calibri Light" w:eastAsia="Calibri" w:cs="Calibri Light"/>
          <w:b/>
          <w:bCs/>
          <w:color w:val="262626"/>
          <w:sz w:val="24"/>
          <w:szCs w:val="24"/>
          <w:lang w:val="en-GB"/>
        </w:rPr>
        <w:t>2</w:t>
      </w:r>
      <w:r w:rsidRPr="0039585C">
        <w:rPr>
          <w:rFonts w:ascii="Calibri Light" w:hAnsi="Calibri Light" w:eastAsia="Calibri" w:cs="Calibri Light"/>
          <w:b/>
          <w:bCs/>
          <w:color w:val="262626"/>
          <w:sz w:val="24"/>
          <w:szCs w:val="24"/>
          <w:lang w:val="en-GB"/>
        </w:rPr>
        <w:t xml:space="preserve">0 – </w:t>
      </w:r>
      <w:r w:rsidR="006C6326">
        <w:rPr>
          <w:rFonts w:ascii="Calibri Light" w:hAnsi="Calibri Light" w:eastAsia="Calibri" w:cs="Calibri Light"/>
          <w:b/>
          <w:bCs/>
          <w:color w:val="262626"/>
          <w:sz w:val="24"/>
          <w:szCs w:val="24"/>
          <w:lang w:val="en-GB"/>
        </w:rPr>
        <w:t>1</w:t>
      </w:r>
      <w:r w:rsidR="006E73DD">
        <w:rPr>
          <w:rFonts w:ascii="Calibri Light" w:hAnsi="Calibri Light" w:eastAsia="Calibri" w:cs="Calibri Light"/>
          <w:b/>
          <w:bCs/>
          <w:color w:val="262626"/>
          <w:sz w:val="24"/>
          <w:szCs w:val="24"/>
          <w:lang w:val="en-GB"/>
        </w:rPr>
        <w:t>2</w:t>
      </w:r>
      <w:r w:rsidRPr="0039585C">
        <w:rPr>
          <w:rFonts w:ascii="Calibri Light" w:hAnsi="Calibri Light" w:eastAsia="Calibri" w:cs="Calibri Light"/>
          <w:b/>
          <w:bCs/>
          <w:color w:val="262626"/>
          <w:sz w:val="24"/>
          <w:szCs w:val="24"/>
          <w:lang w:val="en-GB"/>
        </w:rPr>
        <w:t>:</w:t>
      </w:r>
      <w:r w:rsidR="006E73DD">
        <w:rPr>
          <w:rFonts w:ascii="Calibri Light" w:hAnsi="Calibri Light" w:eastAsia="Calibri" w:cs="Calibri Light"/>
          <w:b/>
          <w:bCs/>
          <w:color w:val="262626"/>
          <w:sz w:val="24"/>
          <w:szCs w:val="24"/>
          <w:lang w:val="en-GB"/>
        </w:rPr>
        <w:t>00</w:t>
      </w:r>
      <w:r w:rsidRPr="0039585C">
        <w:rPr>
          <w:rFonts w:ascii="Calibri Light" w:hAnsi="Calibri Light" w:eastAsia="Calibri" w:cs="Calibri Light"/>
          <w:sz w:val="24"/>
          <w:szCs w:val="24"/>
          <w:lang w:val="en-GB"/>
        </w:rPr>
        <w:tab/>
      </w:r>
      <w:r w:rsidRPr="00AE3414" w:rsidR="006E73DD">
        <w:rPr>
          <w:rFonts w:ascii="Calibri Light" w:hAnsi="Calibri Light" w:eastAsia="Calibri" w:cs="Calibri Light"/>
          <w:b/>
          <w:bCs/>
          <w:color w:val="0D0D0D"/>
          <w:w w:val="102"/>
          <w:sz w:val="24"/>
          <w:szCs w:val="24"/>
          <w:lang w:val="en-GB"/>
        </w:rPr>
        <w:t xml:space="preserve">             Protection</w:t>
      </w:r>
    </w:p>
    <w:p w:rsidR="008C36A2" w:rsidP="00EA1163" w:rsidRDefault="008C36A2" w14:paraId="73636D22" w14:textId="3DC0BB08">
      <w:pPr>
        <w:spacing w:line="240" w:lineRule="auto"/>
      </w:pPr>
    </w:p>
    <w:p w:rsidR="0049655C" w:rsidP="00EA1163" w:rsidRDefault="0049655C" w14:paraId="25D3F2E8" w14:textId="4F1A6F52">
      <w:pPr>
        <w:spacing w:line="240" w:lineRule="auto"/>
      </w:pPr>
    </w:p>
    <w:p w:rsidR="0049655C" w:rsidP="00EA1163" w:rsidRDefault="0049655C" w14:paraId="442D69BE" w14:textId="6ED9B4C4">
      <w:pPr>
        <w:spacing w:line="240" w:lineRule="auto"/>
      </w:pPr>
    </w:p>
    <w:p w:rsidR="002132DB" w:rsidP="00EA1163" w:rsidRDefault="002132DB" w14:paraId="30F8AFED" w14:textId="4F81E027">
      <w:pPr>
        <w:spacing w:line="240" w:lineRule="auto"/>
      </w:pPr>
    </w:p>
    <w:p w:rsidR="002132DB" w:rsidP="00EA1163" w:rsidRDefault="002132DB" w14:paraId="448115D4" w14:textId="272F41CE">
      <w:pPr>
        <w:spacing w:line="240" w:lineRule="auto"/>
      </w:pPr>
    </w:p>
    <w:p w:rsidR="002132DB" w:rsidP="00EA1163" w:rsidRDefault="002132DB" w14:paraId="5AFC42DE" w14:textId="1A9E1FFC">
      <w:pPr>
        <w:spacing w:line="240" w:lineRule="auto"/>
      </w:pPr>
    </w:p>
    <w:p w:rsidR="002132DB" w:rsidP="00EA1163" w:rsidRDefault="002132DB" w14:paraId="3F3DB826" w14:textId="3DCE6D16">
      <w:pPr>
        <w:spacing w:line="240" w:lineRule="auto"/>
      </w:pPr>
    </w:p>
    <w:p w:rsidR="002132DB" w:rsidP="00EA1163" w:rsidRDefault="002132DB" w14:paraId="333BB252" w14:textId="1434B8A7">
      <w:pPr>
        <w:spacing w:line="240" w:lineRule="auto"/>
      </w:pPr>
    </w:p>
    <w:p w:rsidR="002132DB" w:rsidP="00EA1163" w:rsidRDefault="002132DB" w14:paraId="459C8F5F" w14:textId="22350BE7">
      <w:pPr>
        <w:spacing w:line="240" w:lineRule="auto"/>
      </w:pPr>
    </w:p>
    <w:p w:rsidR="002132DB" w:rsidP="00EA1163" w:rsidRDefault="002132DB" w14:paraId="68164EF8" w14:textId="3AE066D2">
      <w:pPr>
        <w:spacing w:line="240" w:lineRule="auto"/>
      </w:pPr>
    </w:p>
    <w:p w:rsidR="002132DB" w:rsidP="00EA1163" w:rsidRDefault="002132DB" w14:paraId="4DD56140" w14:textId="0E00C1B9">
      <w:pPr>
        <w:spacing w:line="240" w:lineRule="auto"/>
      </w:pPr>
    </w:p>
    <w:p w:rsidR="002132DB" w:rsidP="00EA1163" w:rsidRDefault="002132DB" w14:paraId="4E149825" w14:textId="77777777">
      <w:pPr>
        <w:spacing w:line="240" w:lineRule="auto"/>
      </w:pPr>
    </w:p>
    <w:p w:rsidR="0049655C" w:rsidP="00EA1163" w:rsidRDefault="0049655C" w14:paraId="7DEB6916" w14:textId="4B2B71DE">
      <w:pPr>
        <w:spacing w:line="240" w:lineRule="auto"/>
      </w:pPr>
    </w:p>
    <w:p w:rsidRPr="00A73B05" w:rsidR="00536D82" w:rsidP="00EA1163" w:rsidRDefault="00536D82" w14:paraId="64F06E26" w14:textId="4B6724D6">
      <w:pPr>
        <w:spacing w:line="240" w:lineRule="auto"/>
        <w:jc w:val="center"/>
        <w:rPr>
          <w:b/>
          <w:bCs/>
          <w:highlight w:val="yellow"/>
        </w:rPr>
      </w:pPr>
    </w:p>
    <w:p w:rsidR="0003099D" w:rsidP="00EA1163" w:rsidRDefault="0003099D" w14:paraId="0728DFE9" w14:textId="01B67FEA">
      <w:pPr>
        <w:spacing w:line="240" w:lineRule="auto"/>
      </w:pPr>
    </w:p>
    <w:p w:rsidR="00205485" w:rsidP="00EA1163" w:rsidRDefault="00205485" w14:paraId="2926C392" w14:textId="4F297481">
      <w:pPr>
        <w:spacing w:line="240" w:lineRule="auto"/>
      </w:pPr>
    </w:p>
    <w:p w:rsidR="00530BCC" w:rsidP="00EA1163" w:rsidRDefault="006C2F0A" w14:paraId="6B6B0049" w14:textId="7EF35949">
      <w:pPr>
        <w:spacing w:line="240" w:lineRule="auto"/>
      </w:pPr>
      <w:r>
        <w:rPr>
          <w:rFonts w:ascii="Calibri" w:hAnsi="Calibri" w:eastAsia="Calibri" w:cs="Calibri"/>
          <w:b/>
          <w:bCs/>
          <w:lang w:val="en-GB"/>
        </w:rPr>
        <w:t xml:space="preserve"> </w:t>
      </w:r>
    </w:p>
    <w:p w:rsidR="003E1629" w:rsidP="00EA1163" w:rsidRDefault="003E1629" w14:paraId="597EA008" w14:textId="77777777">
      <w:pPr>
        <w:spacing w:line="240" w:lineRule="auto"/>
        <w:rPr>
          <w:b/>
          <w:bCs/>
          <w:highlight w:val="yellow"/>
        </w:rPr>
      </w:pPr>
    </w:p>
    <w:p w:rsidR="008466A8" w:rsidP="00EA1163" w:rsidRDefault="008466A8" w14:paraId="2B7D2B83" w14:textId="33E989D0">
      <w:pPr>
        <w:spacing w:line="240" w:lineRule="auto"/>
        <w:rPr>
          <w:noProof/>
        </w:rPr>
      </w:pPr>
    </w:p>
    <w:p w:rsidRPr="003C2470" w:rsidR="00DB5E3C" w:rsidP="00EA1163" w:rsidRDefault="00CC0C01" w14:paraId="174DFBB7" w14:textId="77777777">
      <w:pPr>
        <w:spacing w:line="240" w:lineRule="auto"/>
        <w:jc w:val="center"/>
        <w:rPr>
          <w:b/>
          <w:bCs/>
          <w:noProof/>
          <w:sz w:val="32"/>
          <w:szCs w:val="32"/>
        </w:rPr>
      </w:pPr>
      <w:r>
        <w:rPr>
          <w:b/>
          <w:bCs/>
          <w:noProof/>
        </w:rPr>
        <w:t xml:space="preserve"> </w:t>
      </w:r>
    </w:p>
    <w:p w:rsidR="004D1344" w:rsidP="00EA1163" w:rsidRDefault="003C2470" w14:paraId="682A5283" w14:textId="20B373FD">
      <w:pPr>
        <w:spacing w:line="240" w:lineRule="auto"/>
        <w:jc w:val="center"/>
        <w:rPr>
          <w:b/>
          <w:bCs/>
          <w:noProof/>
          <w:sz w:val="32"/>
          <w:szCs w:val="32"/>
        </w:rPr>
      </w:pPr>
      <w:r w:rsidRPr="003C2470">
        <w:rPr>
          <w:b/>
          <w:bCs/>
          <w:noProof/>
          <w:sz w:val="32"/>
          <w:szCs w:val="32"/>
        </w:rPr>
        <w:t>Health</w:t>
      </w:r>
    </w:p>
    <w:p w:rsidRPr="00347720" w:rsidR="00846A31" w:rsidP="00347720" w:rsidRDefault="004D1344" w14:paraId="6968B099" w14:textId="6CE96391">
      <w:pPr>
        <w:spacing w:line="240" w:lineRule="auto"/>
        <w:jc w:val="center"/>
        <w:rPr>
          <w:sz w:val="24"/>
          <w:szCs w:val="24"/>
        </w:rPr>
      </w:pPr>
      <w:r w:rsidRPr="002570D2">
        <w:rPr>
          <w:b/>
          <w:sz w:val="24"/>
          <w:szCs w:val="24"/>
        </w:rPr>
        <w:t xml:space="preserve">Names of Coordinators: </w:t>
      </w:r>
      <w:r w:rsidRPr="002570D2" w:rsidR="003C2470">
        <w:rPr>
          <w:b/>
          <w:sz w:val="24"/>
          <w:szCs w:val="24"/>
        </w:rPr>
        <w:t xml:space="preserve"> </w:t>
      </w:r>
      <w:r w:rsidRPr="00846A31" w:rsidR="0064102F">
        <w:rPr>
          <w:sz w:val="24"/>
          <w:szCs w:val="24"/>
        </w:rPr>
        <w:t xml:space="preserve">Christina </w:t>
      </w:r>
      <w:proofErr w:type="spellStart"/>
      <w:r w:rsidRPr="00846A31" w:rsidR="0064102F">
        <w:rPr>
          <w:sz w:val="24"/>
          <w:szCs w:val="24"/>
        </w:rPr>
        <w:t>Bethke</w:t>
      </w:r>
      <w:proofErr w:type="spellEnd"/>
      <w:r w:rsidR="005D4711">
        <w:rPr>
          <w:sz w:val="24"/>
          <w:szCs w:val="24"/>
        </w:rPr>
        <w:t>/WHO</w:t>
      </w:r>
      <w:r w:rsidRPr="00846A31" w:rsidR="0064102F">
        <w:rPr>
          <w:sz w:val="24"/>
          <w:szCs w:val="24"/>
        </w:rPr>
        <w:t xml:space="preserve"> and Nasr Ali Ahmed</w:t>
      </w:r>
      <w:r w:rsidR="005D4711">
        <w:rPr>
          <w:sz w:val="24"/>
          <w:szCs w:val="24"/>
        </w:rPr>
        <w:t>/IRC</w:t>
      </w:r>
    </w:p>
    <w:p w:rsidR="006A07FD" w:rsidP="00EA1163" w:rsidRDefault="00846A31" w14:paraId="6E44B707" w14:textId="7C94B45A">
      <w:pPr>
        <w:spacing w:line="240" w:lineRule="auto"/>
        <w:jc w:val="center"/>
        <w:rPr>
          <w:b/>
          <w:color w:val="2F5496" w:themeColor="accent1" w:themeShade="BF"/>
          <w:highlight w:val="yellow"/>
        </w:rPr>
      </w:pPr>
      <w:r w:rsidRPr="00846A31">
        <w:rPr>
          <w:b/>
          <w:noProof/>
          <w:color w:val="2F5496" w:themeColor="accent1" w:themeShade="BF"/>
          <w:highlight w:val="yellow"/>
        </w:rPr>
        <mc:AlternateContent>
          <mc:Choice Requires="wps">
            <w:drawing>
              <wp:inline distT="0" distB="0" distL="0" distR="0" wp14:anchorId="364289BD" wp14:editId="3472F59B">
                <wp:extent cx="6042660" cy="2956560"/>
                <wp:effectExtent l="0" t="0" r="15240" b="152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2956560"/>
                        </a:xfrm>
                        <a:prstGeom prst="rect">
                          <a:avLst/>
                        </a:prstGeom>
                        <a:solidFill>
                          <a:srgbClr val="FFFFFF"/>
                        </a:solidFill>
                        <a:ln w="9525">
                          <a:solidFill>
                            <a:srgbClr val="000000"/>
                          </a:solidFill>
                          <a:miter lim="800000"/>
                          <a:headEnd/>
                          <a:tailEnd/>
                        </a:ln>
                      </wps:spPr>
                      <wps:txbx>
                        <w:txbxContent>
                          <w:p w:rsidRPr="006A07FD" w:rsidR="00846A31" w:rsidP="00846A31" w:rsidRDefault="00846A31" w14:paraId="3E139375" w14:textId="77777777">
                            <w:pPr>
                              <w:jc w:val="center"/>
                              <w:rPr>
                                <w:b/>
                                <w:color w:val="2F5496" w:themeColor="accent1" w:themeShade="BF"/>
                              </w:rPr>
                            </w:pPr>
                            <w:r>
                              <w:t xml:space="preserve"> </w:t>
                            </w:r>
                            <w:r w:rsidRPr="006A07FD">
                              <w:rPr>
                                <w:b/>
                                <w:color w:val="2F5496" w:themeColor="accent1" w:themeShade="BF"/>
                                <w:highlight w:val="yellow"/>
                              </w:rPr>
                              <w:t>Possible points to raise</w:t>
                            </w:r>
                          </w:p>
                          <w:p w:rsidRPr="00EB0E50" w:rsidR="00846A31" w:rsidP="00846A31" w:rsidRDefault="00846A31" w14:paraId="100CCEE4" w14:textId="77777777">
                            <w:pPr>
                              <w:pStyle w:val="ListParagraph"/>
                              <w:numPr>
                                <w:ilvl w:val="0"/>
                                <w:numId w:val="56"/>
                              </w:numPr>
                              <w:spacing w:after="60"/>
                              <w:jc w:val="both"/>
                              <w:rPr>
                                <w:b/>
                                <w:bCs/>
                                <w:color w:val="2F5496" w:themeColor="accent1" w:themeShade="BF"/>
                              </w:rPr>
                            </w:pPr>
                            <w:r>
                              <w:rPr>
                                <w:b/>
                                <w:bCs/>
                                <w:color w:val="2F5496" w:themeColor="accent1" w:themeShade="BF"/>
                              </w:rPr>
                              <w:t>Shortages of health s</w:t>
                            </w:r>
                            <w:r w:rsidRPr="005C5A1F">
                              <w:rPr>
                                <w:b/>
                                <w:bCs/>
                                <w:color w:val="2F5496" w:themeColor="accent1" w:themeShade="BF"/>
                              </w:rPr>
                              <w:t>taff:</w:t>
                            </w:r>
                            <w:r w:rsidRPr="00EB0E50">
                              <w:rPr>
                                <w:b/>
                                <w:bCs/>
                                <w:color w:val="2F5496" w:themeColor="accent1" w:themeShade="BF"/>
                              </w:rPr>
                              <w:t xml:space="preserve"> </w:t>
                            </w:r>
                            <w:r w:rsidRPr="005C5A1F">
                              <w:rPr>
                                <w:color w:val="2F5496" w:themeColor="accent1" w:themeShade="BF"/>
                              </w:rPr>
                              <w:t>The sector has consistently pointed to the challenge posed by the chronic shortages of health care workers (HCW). Addressing this issue will understandably require long-term investments, but in the short and mid-term, could you elaborate on what efforts the sector is undertaking in terms of capacity-building, training</w:t>
                            </w:r>
                            <w:r>
                              <w:rPr>
                                <w:color w:val="2F5496" w:themeColor="accent1" w:themeShade="BF"/>
                              </w:rPr>
                              <w:t xml:space="preserve">, </w:t>
                            </w:r>
                            <w:r w:rsidRPr="005C5A1F">
                              <w:rPr>
                                <w:color w:val="2F5496" w:themeColor="accent1" w:themeShade="BF"/>
                              </w:rPr>
                              <w:t>etc.? What are related priorities?</w:t>
                            </w:r>
                          </w:p>
                          <w:p w:rsidRPr="00EB0E50" w:rsidR="00846A31" w:rsidP="00846A31" w:rsidRDefault="00846A31" w14:paraId="5669BD12" w14:textId="77777777">
                            <w:pPr>
                              <w:pStyle w:val="ListParagraph"/>
                              <w:numPr>
                                <w:ilvl w:val="0"/>
                                <w:numId w:val="56"/>
                              </w:numPr>
                              <w:spacing w:after="60"/>
                              <w:jc w:val="both"/>
                              <w:rPr>
                                <w:b/>
                                <w:bCs/>
                                <w:color w:val="2F5496" w:themeColor="accent1" w:themeShade="BF"/>
                              </w:rPr>
                            </w:pPr>
                            <w:r w:rsidRPr="00EB0E50">
                              <w:rPr>
                                <w:b/>
                                <w:bCs/>
                                <w:color w:val="2F5496" w:themeColor="accent1" w:themeShade="BF"/>
                              </w:rPr>
                              <w:t>COVID-19</w:t>
                            </w:r>
                            <w:r>
                              <w:rPr>
                                <w:b/>
                                <w:bCs/>
                                <w:color w:val="2F5496" w:themeColor="accent1" w:themeShade="BF"/>
                              </w:rPr>
                              <w:t xml:space="preserve"> response</w:t>
                            </w:r>
                            <w:r w:rsidRPr="00EB0E50">
                              <w:rPr>
                                <w:b/>
                                <w:bCs/>
                                <w:color w:val="2F5496" w:themeColor="accent1" w:themeShade="BF"/>
                              </w:rPr>
                              <w:t xml:space="preserve">: </w:t>
                            </w:r>
                            <w:r w:rsidRPr="005C5A1F">
                              <w:rPr>
                                <w:color w:val="2F5496" w:themeColor="accent1" w:themeShade="BF"/>
                              </w:rPr>
                              <w:t>In review, what were the greatest response challenges for preparedness and response in 2020? Have specific coordination efforts with other Sectors been undertaken to address these at a crisis-wide level during response planning under the HRP?</w:t>
                            </w:r>
                            <w:r w:rsidRPr="00EB0E50">
                              <w:rPr>
                                <w:b/>
                                <w:bCs/>
                                <w:color w:val="2F5496" w:themeColor="accent1" w:themeShade="BF"/>
                              </w:rPr>
                              <w:t xml:space="preserve">  </w:t>
                            </w:r>
                          </w:p>
                          <w:p w:rsidRPr="005C5A1F" w:rsidR="00846A31" w:rsidP="00846A31" w:rsidRDefault="00846A31" w14:paraId="318736E1" w14:textId="77777777">
                            <w:pPr>
                              <w:pStyle w:val="ListParagraph"/>
                              <w:numPr>
                                <w:ilvl w:val="0"/>
                                <w:numId w:val="56"/>
                              </w:numPr>
                              <w:spacing w:after="60"/>
                              <w:jc w:val="both"/>
                              <w:rPr>
                                <w:color w:val="2F5496" w:themeColor="accent1" w:themeShade="BF"/>
                              </w:rPr>
                            </w:pPr>
                            <w:r w:rsidRPr="00EB0E50">
                              <w:rPr>
                                <w:b/>
                                <w:bCs/>
                                <w:color w:val="2F5496" w:themeColor="accent1" w:themeShade="BF"/>
                              </w:rPr>
                              <w:t xml:space="preserve">Health services / infrastructure: </w:t>
                            </w:r>
                            <w:r w:rsidRPr="005C5A1F">
                              <w:rPr>
                                <w:color w:val="2F5496" w:themeColor="accent1" w:themeShade="BF"/>
                              </w:rPr>
                              <w:t>Are there specific coordination efforts with ERL, WASH, Shelter or any</w:t>
                            </w:r>
                            <w:r>
                              <w:rPr>
                                <w:color w:val="2F5496" w:themeColor="accent1" w:themeShade="BF"/>
                              </w:rPr>
                              <w:t xml:space="preserve"> other</w:t>
                            </w:r>
                            <w:r w:rsidRPr="005C5A1F">
                              <w:rPr>
                                <w:color w:val="2F5496" w:themeColor="accent1" w:themeShade="BF"/>
                              </w:rPr>
                              <w:t xml:space="preserve"> sectors regarding prioritized </w:t>
                            </w:r>
                            <w:r>
                              <w:rPr>
                                <w:color w:val="2F5496" w:themeColor="accent1" w:themeShade="BF"/>
                              </w:rPr>
                              <w:t xml:space="preserve">and joined-up rehabilitation of health infrastructure, </w:t>
                            </w:r>
                            <w:proofErr w:type="gramStart"/>
                            <w:r>
                              <w:rPr>
                                <w:color w:val="2F5496" w:themeColor="accent1" w:themeShade="BF"/>
                              </w:rPr>
                              <w:t>so as to</w:t>
                            </w:r>
                            <w:proofErr w:type="gramEnd"/>
                            <w:r>
                              <w:rPr>
                                <w:color w:val="2F5496" w:themeColor="accent1" w:themeShade="BF"/>
                              </w:rPr>
                              <w:t xml:space="preserve"> improve </w:t>
                            </w:r>
                            <w:r w:rsidRPr="005C5A1F">
                              <w:rPr>
                                <w:color w:val="2F5496" w:themeColor="accent1" w:themeShade="BF"/>
                              </w:rPr>
                              <w:t>functionality</w:t>
                            </w:r>
                            <w:r>
                              <w:rPr>
                                <w:color w:val="2F5496" w:themeColor="accent1" w:themeShade="BF"/>
                              </w:rPr>
                              <w:t xml:space="preserve"> and access</w:t>
                            </w:r>
                            <w:r w:rsidRPr="005C5A1F">
                              <w:rPr>
                                <w:color w:val="2F5496" w:themeColor="accent1" w:themeShade="BF"/>
                              </w:rPr>
                              <w:t xml:space="preserve">?  </w:t>
                            </w:r>
                          </w:p>
                          <w:p w:rsidR="00846A31" w:rsidP="00846A31" w:rsidRDefault="00846A31" w14:paraId="2B511953" w14:textId="77777777">
                            <w:pPr>
                              <w:pStyle w:val="ListParagraph"/>
                              <w:numPr>
                                <w:ilvl w:val="0"/>
                                <w:numId w:val="56"/>
                              </w:numPr>
                              <w:spacing w:after="60"/>
                              <w:jc w:val="both"/>
                              <w:rPr>
                                <w:b/>
                                <w:bCs/>
                                <w:color w:val="2F5496" w:themeColor="accent1" w:themeShade="BF"/>
                              </w:rPr>
                            </w:pPr>
                            <w:r>
                              <w:rPr>
                                <w:b/>
                                <w:bCs/>
                                <w:color w:val="2F5496" w:themeColor="accent1" w:themeShade="BF"/>
                              </w:rPr>
                              <w:t xml:space="preserve">Underfunding: </w:t>
                            </w:r>
                            <w:r w:rsidRPr="005C5A1F">
                              <w:rPr>
                                <w:color w:val="2F5496" w:themeColor="accent1" w:themeShade="BF"/>
                              </w:rPr>
                              <w:t>Despite COVID-19 etc., the health sector was only funded at 35% in 2020. What tend to be your most underfunded programmatic activities? How can we as HCs help in making a stronger case for investments in health?</w:t>
                            </w:r>
                            <w:r>
                              <w:rPr>
                                <w:b/>
                                <w:bCs/>
                                <w:color w:val="2F5496" w:themeColor="accent1" w:themeShade="BF"/>
                              </w:rPr>
                              <w:t xml:space="preserve"> </w:t>
                            </w:r>
                          </w:p>
                          <w:p w:rsidR="00846A31" w:rsidP="00846A31" w:rsidRDefault="00846A31" w14:paraId="170A82ED" w14:textId="4C9EC073"/>
                        </w:txbxContent>
                      </wps:txbx>
                      <wps:bodyPr rot="0" vert="horz" wrap="square" lIns="91440" tIns="45720" rIns="91440" bIns="45720" anchor="t" anchorCtr="0">
                        <a:noAutofit/>
                      </wps:bodyPr>
                    </wps:wsp>
                  </a:graphicData>
                </a:graphic>
              </wp:inline>
            </w:drawing>
          </mc:Choice>
          <mc:Fallback>
            <w:pict w14:anchorId="5215871A">
              <v:shape id="Text Box 2" style="width:475.8pt;height:232.8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f5JQIAAE0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gGe/eaEsM0&#10;9uhBDIG8hYEUkZ7e+hK97i36hQGv0TWV6u0d8G+eGNh0zOzEjXPQd4I1mN40vswuno44PoLU/Udo&#10;MAzbB0hAQ+t05A7ZIIiObTqeWxNT4Xi5yGfFYoEmjrZiOV/MUYkxWPn03Dof3gvQJAoVddj7BM8O&#10;dz6Mrk8uMZoHJZutVCopbldvlCMHhnOyTd8J/Sc3ZUhf0eW8mI8M/BUiT9+fILQMOPBK6openZ1Y&#10;GXl7ZxpMk5WBSTXKWJ0yJyIjdyOLYaiHsWUxQCS5huaIzDoY5xv3EYUO3A9Kepztivrve+YEJeqD&#10;we4sp7NZXIakzOZvClTcpaW+tDDDEaqigZJR3IS0QDFVAzfYxVYmfp8zOaWMM5s6dNqvuBSXevJ6&#10;/gusHwEAAP//AwBQSwMEFAAGAAgAAAAhANGONf/dAAAABQEAAA8AAABkcnMvZG93bnJldi54bWxM&#10;j8FOwzAQRO9I/IO1SFwQdQqtaUOcCiGByq20FVzdeJtE2Otgu2n4ewyX9rLSaEYzb4vFYA3r0YfW&#10;kYTxKAOGVDndUi1hu3m5nQELUZFWxhFK+MEAi/LyolC5dkd6x34da5ZKKORKQhNjl3MeqgatCiPX&#10;ISVv77xVMUlfc+3VMZVbw++yTHCrWkoLjerwucHqa32wEmaTZf8Z3u5XH5XYm3m8eehfv72U11fD&#10;0yOwiEM8heEPP6FDmZh27kA6MCMhPRL/b/Lm07EAtpMwEVMBvCz4OX35CwAA//8DAFBLAQItABQA&#10;BgAIAAAAIQC2gziS/gAAAOEBAAATAAAAAAAAAAAAAAAAAAAAAABbQ29udGVudF9UeXBlc10ueG1s&#10;UEsBAi0AFAAGAAgAAAAhADj9If/WAAAAlAEAAAsAAAAAAAAAAAAAAAAALwEAAF9yZWxzLy5yZWxz&#10;UEsBAi0AFAAGAAgAAAAhAGEtZ/klAgAATQQAAA4AAAAAAAAAAAAAAAAALgIAAGRycy9lMm9Eb2Mu&#10;eG1sUEsBAi0AFAAGAAgAAAAhANGONf/dAAAABQEAAA8AAAAAAAAAAAAAAAAAfwQAAGRycy9kb3du&#10;cmV2LnhtbFBLBQYAAAAABAAEAPMAAACJBQAAAAA=&#10;" w14:anchorId="364289BD">
                <v:textbox>
                  <w:txbxContent>
                    <w:p w:rsidRPr="006A07FD" w:rsidR="00846A31" w:rsidP="00846A31" w:rsidRDefault="00846A31" w14:paraId="3C0690C8" w14:textId="77777777">
                      <w:pPr>
                        <w:jc w:val="center"/>
                        <w:rPr>
                          <w:b/>
                          <w:color w:val="2F5496" w:themeColor="accent1" w:themeShade="BF"/>
                        </w:rPr>
                      </w:pPr>
                      <w:r>
                        <w:t xml:space="preserve"> </w:t>
                      </w:r>
                      <w:r w:rsidRPr="006A07FD">
                        <w:rPr>
                          <w:b/>
                          <w:color w:val="2F5496" w:themeColor="accent1" w:themeShade="BF"/>
                          <w:highlight w:val="yellow"/>
                        </w:rPr>
                        <w:t>Possible points to raise</w:t>
                      </w:r>
                    </w:p>
                    <w:p w:rsidRPr="00EB0E50" w:rsidR="00846A31" w:rsidP="00846A31" w:rsidRDefault="00846A31" w14:paraId="2796950F" w14:textId="77777777">
                      <w:pPr>
                        <w:pStyle w:val="ListParagraph"/>
                        <w:numPr>
                          <w:ilvl w:val="0"/>
                          <w:numId w:val="56"/>
                        </w:numPr>
                        <w:spacing w:after="60"/>
                        <w:jc w:val="both"/>
                        <w:rPr>
                          <w:b/>
                          <w:bCs/>
                          <w:color w:val="2F5496" w:themeColor="accent1" w:themeShade="BF"/>
                        </w:rPr>
                      </w:pPr>
                      <w:r>
                        <w:rPr>
                          <w:b/>
                          <w:bCs/>
                          <w:color w:val="2F5496" w:themeColor="accent1" w:themeShade="BF"/>
                        </w:rPr>
                        <w:t>Shortages of health s</w:t>
                      </w:r>
                      <w:r w:rsidRPr="005C5A1F">
                        <w:rPr>
                          <w:b/>
                          <w:bCs/>
                          <w:color w:val="2F5496" w:themeColor="accent1" w:themeShade="BF"/>
                        </w:rPr>
                        <w:t>taff:</w:t>
                      </w:r>
                      <w:r w:rsidRPr="00EB0E50">
                        <w:rPr>
                          <w:b/>
                          <w:bCs/>
                          <w:color w:val="2F5496" w:themeColor="accent1" w:themeShade="BF"/>
                        </w:rPr>
                        <w:t xml:space="preserve"> </w:t>
                      </w:r>
                      <w:r w:rsidRPr="005C5A1F">
                        <w:rPr>
                          <w:color w:val="2F5496" w:themeColor="accent1" w:themeShade="BF"/>
                        </w:rPr>
                        <w:t>The sector has consistently pointed to the challenge posed by the chronic shortages of health care workers (HCW). Addressing this issue will understandably require long-term investments, but in the short and mid-term, could you elaborate on what efforts the sector is undertaking in terms of capacity-building, training</w:t>
                      </w:r>
                      <w:r>
                        <w:rPr>
                          <w:color w:val="2F5496" w:themeColor="accent1" w:themeShade="BF"/>
                        </w:rPr>
                        <w:t xml:space="preserve">, </w:t>
                      </w:r>
                      <w:r w:rsidRPr="005C5A1F">
                        <w:rPr>
                          <w:color w:val="2F5496" w:themeColor="accent1" w:themeShade="BF"/>
                        </w:rPr>
                        <w:t>etc.? What are related priorities?</w:t>
                      </w:r>
                    </w:p>
                    <w:p w:rsidRPr="00EB0E50" w:rsidR="00846A31" w:rsidP="00846A31" w:rsidRDefault="00846A31" w14:paraId="4CC864C3" w14:textId="77777777">
                      <w:pPr>
                        <w:pStyle w:val="ListParagraph"/>
                        <w:numPr>
                          <w:ilvl w:val="0"/>
                          <w:numId w:val="56"/>
                        </w:numPr>
                        <w:spacing w:after="60"/>
                        <w:jc w:val="both"/>
                        <w:rPr>
                          <w:b/>
                          <w:bCs/>
                          <w:color w:val="2F5496" w:themeColor="accent1" w:themeShade="BF"/>
                        </w:rPr>
                      </w:pPr>
                      <w:r w:rsidRPr="00EB0E50">
                        <w:rPr>
                          <w:b/>
                          <w:bCs/>
                          <w:color w:val="2F5496" w:themeColor="accent1" w:themeShade="BF"/>
                        </w:rPr>
                        <w:t>COVID-19</w:t>
                      </w:r>
                      <w:r>
                        <w:rPr>
                          <w:b/>
                          <w:bCs/>
                          <w:color w:val="2F5496" w:themeColor="accent1" w:themeShade="BF"/>
                        </w:rPr>
                        <w:t xml:space="preserve"> response</w:t>
                      </w:r>
                      <w:r w:rsidRPr="00EB0E50">
                        <w:rPr>
                          <w:b/>
                          <w:bCs/>
                          <w:color w:val="2F5496" w:themeColor="accent1" w:themeShade="BF"/>
                        </w:rPr>
                        <w:t xml:space="preserve">: </w:t>
                      </w:r>
                      <w:r w:rsidRPr="005C5A1F">
                        <w:rPr>
                          <w:color w:val="2F5496" w:themeColor="accent1" w:themeShade="BF"/>
                        </w:rPr>
                        <w:t>In review, what were the greatest response challenges for preparedness and response in 2020? Have specific coordination efforts with other Sectors been undertaken to address these at a crisis-wide level during response planning under the HRP?</w:t>
                      </w:r>
                      <w:r w:rsidRPr="00EB0E50">
                        <w:rPr>
                          <w:b/>
                          <w:bCs/>
                          <w:color w:val="2F5496" w:themeColor="accent1" w:themeShade="BF"/>
                        </w:rPr>
                        <w:t xml:space="preserve">  </w:t>
                      </w:r>
                    </w:p>
                    <w:p w:rsidRPr="005C5A1F" w:rsidR="00846A31" w:rsidP="00846A31" w:rsidRDefault="00846A31" w14:paraId="352D050A" w14:textId="77777777">
                      <w:pPr>
                        <w:pStyle w:val="ListParagraph"/>
                        <w:numPr>
                          <w:ilvl w:val="0"/>
                          <w:numId w:val="56"/>
                        </w:numPr>
                        <w:spacing w:after="60"/>
                        <w:jc w:val="both"/>
                        <w:rPr>
                          <w:color w:val="2F5496" w:themeColor="accent1" w:themeShade="BF"/>
                        </w:rPr>
                      </w:pPr>
                      <w:r w:rsidRPr="00EB0E50">
                        <w:rPr>
                          <w:b/>
                          <w:bCs/>
                          <w:color w:val="2F5496" w:themeColor="accent1" w:themeShade="BF"/>
                        </w:rPr>
                        <w:t xml:space="preserve">Health services / infrastructure: </w:t>
                      </w:r>
                      <w:r w:rsidRPr="005C5A1F">
                        <w:rPr>
                          <w:color w:val="2F5496" w:themeColor="accent1" w:themeShade="BF"/>
                        </w:rPr>
                        <w:t>Are there specific coordination efforts with ERL, WASH, Shelter or any</w:t>
                      </w:r>
                      <w:r>
                        <w:rPr>
                          <w:color w:val="2F5496" w:themeColor="accent1" w:themeShade="BF"/>
                        </w:rPr>
                        <w:t xml:space="preserve"> other</w:t>
                      </w:r>
                      <w:r w:rsidRPr="005C5A1F">
                        <w:rPr>
                          <w:color w:val="2F5496" w:themeColor="accent1" w:themeShade="BF"/>
                        </w:rPr>
                        <w:t xml:space="preserve"> sectors regarding prioritized </w:t>
                      </w:r>
                      <w:r>
                        <w:rPr>
                          <w:color w:val="2F5496" w:themeColor="accent1" w:themeShade="BF"/>
                        </w:rPr>
                        <w:t xml:space="preserve">and joined-up rehabilitation of health infrastructure, </w:t>
                      </w:r>
                      <w:proofErr w:type="gramStart"/>
                      <w:r>
                        <w:rPr>
                          <w:color w:val="2F5496" w:themeColor="accent1" w:themeShade="BF"/>
                        </w:rPr>
                        <w:t>so as to</w:t>
                      </w:r>
                      <w:proofErr w:type="gramEnd"/>
                      <w:r>
                        <w:rPr>
                          <w:color w:val="2F5496" w:themeColor="accent1" w:themeShade="BF"/>
                        </w:rPr>
                        <w:t xml:space="preserve"> improve </w:t>
                      </w:r>
                      <w:r w:rsidRPr="005C5A1F">
                        <w:rPr>
                          <w:color w:val="2F5496" w:themeColor="accent1" w:themeShade="BF"/>
                        </w:rPr>
                        <w:t>functionality</w:t>
                      </w:r>
                      <w:r>
                        <w:rPr>
                          <w:color w:val="2F5496" w:themeColor="accent1" w:themeShade="BF"/>
                        </w:rPr>
                        <w:t xml:space="preserve"> and access</w:t>
                      </w:r>
                      <w:r w:rsidRPr="005C5A1F">
                        <w:rPr>
                          <w:color w:val="2F5496" w:themeColor="accent1" w:themeShade="BF"/>
                        </w:rPr>
                        <w:t xml:space="preserve">?  </w:t>
                      </w:r>
                    </w:p>
                    <w:p w:rsidR="00846A31" w:rsidP="00846A31" w:rsidRDefault="00846A31" w14:paraId="057889C4" w14:textId="77777777">
                      <w:pPr>
                        <w:pStyle w:val="ListParagraph"/>
                        <w:numPr>
                          <w:ilvl w:val="0"/>
                          <w:numId w:val="56"/>
                        </w:numPr>
                        <w:spacing w:after="60"/>
                        <w:jc w:val="both"/>
                        <w:rPr>
                          <w:b/>
                          <w:bCs/>
                          <w:color w:val="2F5496" w:themeColor="accent1" w:themeShade="BF"/>
                        </w:rPr>
                      </w:pPr>
                      <w:r>
                        <w:rPr>
                          <w:b/>
                          <w:bCs/>
                          <w:color w:val="2F5496" w:themeColor="accent1" w:themeShade="BF"/>
                        </w:rPr>
                        <w:t xml:space="preserve">Underfunding: </w:t>
                      </w:r>
                      <w:r w:rsidRPr="005C5A1F">
                        <w:rPr>
                          <w:color w:val="2F5496" w:themeColor="accent1" w:themeShade="BF"/>
                        </w:rPr>
                        <w:t>Despite COVID-19 etc., the health sector was only funded at 35% in 2020. What tend to be your most underfunded programmatic activities? How can we as HCs help in making a stronger case for investments in health?</w:t>
                      </w:r>
                      <w:r>
                        <w:rPr>
                          <w:b/>
                          <w:bCs/>
                          <w:color w:val="2F5496" w:themeColor="accent1" w:themeShade="BF"/>
                        </w:rPr>
                        <w:t xml:space="preserve"> </w:t>
                      </w:r>
                    </w:p>
                    <w:p w:rsidR="00846A31" w:rsidP="00846A31" w:rsidRDefault="00846A31" w14:paraId="0A37501D" w14:textId="4C9EC073"/>
                  </w:txbxContent>
                </v:textbox>
                <w10:anchorlock/>
              </v:shape>
            </w:pict>
          </mc:Fallback>
        </mc:AlternateContent>
      </w:r>
    </w:p>
    <w:p w:rsidRPr="00704EA4" w:rsidR="00704EA4" w:rsidP="00EA1163" w:rsidRDefault="00704EA4" w14:paraId="2507D4F7" w14:textId="77777777">
      <w:pPr>
        <w:spacing w:after="60" w:line="240" w:lineRule="auto"/>
        <w:ind w:left="360"/>
        <w:jc w:val="both"/>
        <w:rPr>
          <w:b/>
          <w:bCs/>
          <w:color w:val="2F5496" w:themeColor="accent1" w:themeShade="BF"/>
        </w:rPr>
      </w:pPr>
    </w:p>
    <w:p w:rsidRPr="006A07FD" w:rsidR="00D639B3" w:rsidP="00EA1163" w:rsidRDefault="00D639B3" w14:paraId="56035D66" w14:textId="73156FAF">
      <w:pPr>
        <w:pStyle w:val="ListParagraph"/>
        <w:numPr>
          <w:ilvl w:val="0"/>
          <w:numId w:val="11"/>
        </w:numPr>
        <w:spacing w:after="160"/>
        <w:contextualSpacing/>
        <w:rPr>
          <w:rFonts w:cstheme="minorHAnsi"/>
          <w:b/>
        </w:rPr>
      </w:pPr>
      <w:r w:rsidRPr="006A07FD">
        <w:rPr>
          <w:rFonts w:cstheme="minorHAnsi"/>
          <w:b/>
        </w:rPr>
        <w:t>2021 Key figures</w:t>
      </w:r>
    </w:p>
    <w:p w:rsidRPr="00FE1B9A" w:rsidR="004D1344" w:rsidP="00EA1163" w:rsidRDefault="004D1344" w14:paraId="4EFC9D83" w14:textId="77777777">
      <w:pPr>
        <w:pStyle w:val="ListParagraph"/>
        <w:spacing w:after="160"/>
        <w:ind w:left="630"/>
        <w:contextualSpacing/>
        <w:rPr>
          <w:rFonts w:cstheme="minorHAnsi"/>
          <w:b/>
          <w:bCs/>
          <w:sz w:val="20"/>
          <w:szCs w:val="20"/>
        </w:rPr>
      </w:pPr>
    </w:p>
    <w:tbl>
      <w:tblPr>
        <w:tblStyle w:val="PlainTable4"/>
        <w:tblW w:w="900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0"/>
        <w:gridCol w:w="1028"/>
        <w:gridCol w:w="1232"/>
        <w:gridCol w:w="1231"/>
        <w:gridCol w:w="1231"/>
        <w:gridCol w:w="1231"/>
        <w:gridCol w:w="992"/>
        <w:gridCol w:w="975"/>
      </w:tblGrid>
      <w:tr w:rsidR="00D639B3" w:rsidTr="006A07FD" w14:paraId="0DE3496B"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108" w:type="dxa"/>
            <w:gridSpan w:val="2"/>
          </w:tcPr>
          <w:p w:rsidRPr="004D1344" w:rsidR="00D639B3" w:rsidP="00191CB2" w:rsidRDefault="00D639B3" w14:paraId="5A22F795" w14:textId="77777777">
            <w:pPr>
              <w:pStyle w:val="ListParagraph"/>
              <w:ind w:left="0"/>
              <w:jc w:val="center"/>
              <w:rPr>
                <w:b w:val="0"/>
                <w:bCs w:val="0"/>
                <w:i/>
                <w:iCs/>
              </w:rPr>
            </w:pPr>
            <w:bookmarkStart w:name="_Hlk73622401" w:id="1"/>
            <w:r w:rsidRPr="004D1344">
              <w:rPr>
                <w:i/>
              </w:rPr>
              <w:t>People in Need</w:t>
            </w:r>
          </w:p>
        </w:tc>
        <w:tc>
          <w:tcPr>
            <w:tcW w:w="2463" w:type="dxa"/>
            <w:gridSpan w:val="2"/>
          </w:tcPr>
          <w:p w:rsidRPr="004D1344" w:rsidR="00D639B3" w:rsidP="00191CB2" w:rsidRDefault="00D639B3" w14:paraId="0A80EDB1"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i/>
              </w:rPr>
            </w:pPr>
            <w:r w:rsidRPr="004D1344">
              <w:rPr>
                <w:i/>
              </w:rPr>
              <w:t>Target</w:t>
            </w:r>
          </w:p>
        </w:tc>
        <w:tc>
          <w:tcPr>
            <w:tcW w:w="2462" w:type="dxa"/>
            <w:gridSpan w:val="2"/>
          </w:tcPr>
          <w:p w:rsidRPr="004D1344" w:rsidR="00D639B3" w:rsidP="00191CB2" w:rsidRDefault="00D639B3" w14:paraId="0F2B5B9F"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i/>
              </w:rPr>
            </w:pPr>
            <w:r w:rsidRPr="004D1344">
              <w:rPr>
                <w:i/>
              </w:rPr>
              <w:t>Funding requirements</w:t>
            </w:r>
          </w:p>
        </w:tc>
        <w:tc>
          <w:tcPr>
            <w:tcW w:w="992" w:type="dxa"/>
          </w:tcPr>
          <w:p w:rsidRPr="004D1344" w:rsidR="00D639B3" w:rsidP="004D1344" w:rsidRDefault="00D639B3" w14:paraId="0D669EB5"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i/>
              </w:rPr>
            </w:pPr>
            <w:r w:rsidRPr="004D1344">
              <w:rPr>
                <w:i/>
              </w:rPr>
              <w:t xml:space="preserve">Partners </w:t>
            </w:r>
          </w:p>
        </w:tc>
        <w:tc>
          <w:tcPr>
            <w:tcW w:w="975" w:type="dxa"/>
          </w:tcPr>
          <w:p w:rsidRPr="004D1344" w:rsidR="00D639B3" w:rsidP="004D1344" w:rsidRDefault="00D639B3" w14:paraId="34E34538"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i/>
              </w:rPr>
            </w:pPr>
            <w:r w:rsidRPr="004D1344">
              <w:rPr>
                <w:i/>
              </w:rPr>
              <w:t xml:space="preserve">Projects </w:t>
            </w:r>
          </w:p>
        </w:tc>
      </w:tr>
      <w:tr w:rsidR="00D639B3" w:rsidTr="006A07FD" w14:paraId="054C1CB8" w14:textId="7777777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80" w:type="dxa"/>
          </w:tcPr>
          <w:p w:rsidRPr="005374CC" w:rsidR="00D639B3" w:rsidP="004D1344" w:rsidRDefault="00D639B3" w14:paraId="638439B4" w14:textId="77777777">
            <w:pPr>
              <w:pStyle w:val="ListParagraph"/>
              <w:ind w:left="0"/>
              <w:jc w:val="center"/>
              <w:rPr>
                <w:b w:val="0"/>
                <w:bCs w:val="0"/>
                <w:i/>
                <w:iCs/>
                <w:sz w:val="14"/>
                <w:szCs w:val="14"/>
              </w:rPr>
            </w:pPr>
            <w:r w:rsidRPr="005374CC">
              <w:rPr>
                <w:b w:val="0"/>
                <w:bCs w:val="0"/>
                <w:i/>
                <w:iCs/>
                <w:sz w:val="14"/>
                <w:szCs w:val="14"/>
              </w:rPr>
              <w:t>In million</w:t>
            </w:r>
          </w:p>
        </w:tc>
        <w:tc>
          <w:tcPr>
            <w:tcW w:w="1028" w:type="dxa"/>
          </w:tcPr>
          <w:p w:rsidRPr="005374CC" w:rsidR="00D639B3" w:rsidP="004D1344" w:rsidRDefault="00D639B3" w14:paraId="62A69231"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i/>
                <w:iCs/>
                <w:sz w:val="14"/>
                <w:szCs w:val="14"/>
              </w:rPr>
            </w:pPr>
            <w:r w:rsidRPr="005374CC">
              <w:rPr>
                <w:i/>
                <w:iCs/>
                <w:sz w:val="14"/>
                <w:szCs w:val="14"/>
              </w:rPr>
              <w:t>% variation in 2020</w:t>
            </w:r>
          </w:p>
        </w:tc>
        <w:tc>
          <w:tcPr>
            <w:tcW w:w="1232" w:type="dxa"/>
          </w:tcPr>
          <w:p w:rsidRPr="005374CC" w:rsidR="00D639B3" w:rsidP="004D1344" w:rsidRDefault="00D639B3" w14:paraId="2B435FE8"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In million</w:t>
            </w:r>
          </w:p>
        </w:tc>
        <w:tc>
          <w:tcPr>
            <w:tcW w:w="1231" w:type="dxa"/>
          </w:tcPr>
          <w:p w:rsidRPr="005374CC" w:rsidR="00D639B3" w:rsidP="004D1344" w:rsidRDefault="00D639B3" w14:paraId="52C315A8"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1231" w:type="dxa"/>
          </w:tcPr>
          <w:p w:rsidRPr="005374CC" w:rsidR="00D639B3" w:rsidP="004D1344" w:rsidRDefault="00D639B3" w14:paraId="2122A7B9"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US$</w:t>
            </w:r>
          </w:p>
        </w:tc>
        <w:tc>
          <w:tcPr>
            <w:tcW w:w="1231" w:type="dxa"/>
          </w:tcPr>
          <w:p w:rsidRPr="005374CC" w:rsidR="00D639B3" w:rsidP="004D1344" w:rsidRDefault="00D639B3" w14:paraId="498927F1"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992" w:type="dxa"/>
            <w:vMerge w:val="restart"/>
          </w:tcPr>
          <w:p w:rsidR="00D639B3" w:rsidP="00191CB2" w:rsidRDefault="00D639B3" w14:paraId="2DCE2A2F"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D639B3" w:rsidP="00191CB2" w:rsidRDefault="00D639B3" w14:paraId="59351A8D" w14:textId="016EE1FE">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55</w:t>
            </w:r>
            <w:r w:rsidR="004D1344">
              <w:rPr>
                <w:b/>
                <w:bCs/>
              </w:rPr>
              <w:t xml:space="preserve"> </w:t>
            </w:r>
            <w:r w:rsidRPr="004D1344">
              <w:t>(+3)</w:t>
            </w:r>
          </w:p>
        </w:tc>
        <w:tc>
          <w:tcPr>
            <w:tcW w:w="975" w:type="dxa"/>
            <w:vMerge w:val="restart"/>
          </w:tcPr>
          <w:p w:rsidR="00D639B3" w:rsidP="00191CB2" w:rsidRDefault="00D639B3" w14:paraId="65486604"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D639B3" w:rsidP="00191CB2" w:rsidRDefault="00D639B3" w14:paraId="257E9CA5" w14:textId="4BA77A28">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69</w:t>
            </w:r>
            <w:r w:rsidR="004D1344">
              <w:rPr>
                <w:b/>
                <w:bCs/>
              </w:rPr>
              <w:t xml:space="preserve"> </w:t>
            </w:r>
            <w:r w:rsidRPr="004D1344">
              <w:t>(+25)</w:t>
            </w:r>
          </w:p>
        </w:tc>
      </w:tr>
      <w:tr w:rsidR="00D639B3" w:rsidTr="006A07FD" w14:paraId="1E9F4236" w14:textId="77777777">
        <w:trPr>
          <w:trHeight w:val="461"/>
        </w:trPr>
        <w:tc>
          <w:tcPr>
            <w:cnfStyle w:val="001000000000" w:firstRow="0" w:lastRow="0" w:firstColumn="1" w:lastColumn="0" w:oddVBand="0" w:evenVBand="0" w:oddHBand="0" w:evenHBand="0" w:firstRowFirstColumn="0" w:firstRowLastColumn="0" w:lastRowFirstColumn="0" w:lastRowLastColumn="0"/>
            <w:tcW w:w="1080" w:type="dxa"/>
          </w:tcPr>
          <w:p w:rsidRPr="005374CC" w:rsidR="00D639B3" w:rsidP="00191CB2" w:rsidRDefault="00D639B3" w14:paraId="53F669DA" w14:textId="77777777">
            <w:pPr>
              <w:pStyle w:val="ListParagraph"/>
              <w:ind w:left="0"/>
              <w:jc w:val="center"/>
            </w:pPr>
            <w:r>
              <w:t>12.4M</w:t>
            </w:r>
          </w:p>
        </w:tc>
        <w:tc>
          <w:tcPr>
            <w:tcW w:w="1028" w:type="dxa"/>
          </w:tcPr>
          <w:p w:rsidRPr="004D1344" w:rsidR="00D639B3" w:rsidP="006A07FD" w:rsidRDefault="00D639B3" w14:paraId="2F47B413"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4D1344">
              <w:t>3.6%</w:t>
            </w:r>
          </w:p>
        </w:tc>
        <w:tc>
          <w:tcPr>
            <w:tcW w:w="1232" w:type="dxa"/>
          </w:tcPr>
          <w:p w:rsidRPr="00E65B2C" w:rsidR="00D639B3" w:rsidP="00191CB2" w:rsidRDefault="00D639B3" w14:paraId="6CD41B9C"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r w:rsidRPr="00E65B2C">
              <w:rPr>
                <w:b/>
                <w:bCs/>
              </w:rPr>
              <w:t>11.6M</w:t>
            </w:r>
          </w:p>
        </w:tc>
        <w:tc>
          <w:tcPr>
            <w:tcW w:w="1231" w:type="dxa"/>
          </w:tcPr>
          <w:p w:rsidRPr="004D1344" w:rsidR="00D639B3" w:rsidP="006A07FD" w:rsidRDefault="00D639B3" w14:paraId="2034204B"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4D1344">
              <w:t>2%</w:t>
            </w:r>
          </w:p>
        </w:tc>
        <w:tc>
          <w:tcPr>
            <w:tcW w:w="1231" w:type="dxa"/>
          </w:tcPr>
          <w:p w:rsidRPr="00E65B2C" w:rsidR="00D639B3" w:rsidP="00191CB2" w:rsidRDefault="00D639B3" w14:paraId="0AC79106"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r w:rsidRPr="00E65B2C">
              <w:rPr>
                <w:b/>
                <w:bCs/>
              </w:rPr>
              <w:t>576M</w:t>
            </w:r>
          </w:p>
        </w:tc>
        <w:tc>
          <w:tcPr>
            <w:tcW w:w="1231" w:type="dxa"/>
          </w:tcPr>
          <w:p w:rsidRPr="004D1344" w:rsidR="00D639B3" w:rsidP="00191CB2" w:rsidRDefault="00D639B3" w14:paraId="25135A5D"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4D1344">
              <w:t>-4%</w:t>
            </w:r>
          </w:p>
        </w:tc>
        <w:tc>
          <w:tcPr>
            <w:tcW w:w="992" w:type="dxa"/>
            <w:vMerge/>
          </w:tcPr>
          <w:p w:rsidR="00D639B3" w:rsidDel="003C3274" w:rsidP="00191CB2" w:rsidRDefault="00D639B3" w14:paraId="727E6AB0"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p>
        </w:tc>
        <w:tc>
          <w:tcPr>
            <w:tcW w:w="975" w:type="dxa"/>
            <w:vMerge/>
          </w:tcPr>
          <w:p w:rsidR="00D639B3" w:rsidP="00191CB2" w:rsidRDefault="00D639B3" w14:paraId="76CFD805"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p>
        </w:tc>
      </w:tr>
      <w:bookmarkEnd w:id="1"/>
    </w:tbl>
    <w:p w:rsidRPr="00FE1B9A" w:rsidR="00D639B3" w:rsidP="00EA1163" w:rsidRDefault="00D639B3" w14:paraId="24E801AE" w14:textId="77777777">
      <w:pPr>
        <w:spacing w:line="240" w:lineRule="auto"/>
        <w:rPr>
          <w:rFonts w:cstheme="minorHAnsi"/>
          <w:b/>
          <w:bCs/>
          <w:sz w:val="20"/>
          <w:szCs w:val="20"/>
        </w:rPr>
      </w:pPr>
    </w:p>
    <w:p w:rsidRPr="00FE1B9A" w:rsidR="00D639B3" w:rsidP="00EA1163" w:rsidRDefault="00D639B3" w14:paraId="73953EBC" w14:textId="77777777">
      <w:pPr>
        <w:pStyle w:val="ListParagraph"/>
        <w:numPr>
          <w:ilvl w:val="0"/>
          <w:numId w:val="11"/>
        </w:numPr>
        <w:spacing w:after="160"/>
        <w:contextualSpacing/>
        <w:jc w:val="both"/>
        <w:rPr>
          <w:b/>
          <w:bCs/>
          <w:sz w:val="20"/>
          <w:szCs w:val="20"/>
        </w:rPr>
      </w:pPr>
      <w:r w:rsidRPr="00FE1B9A">
        <w:rPr>
          <w:b/>
          <w:bCs/>
          <w:sz w:val="20"/>
          <w:szCs w:val="20"/>
        </w:rPr>
        <w:t xml:space="preserve">Most significant response gaps in 2020: </w:t>
      </w:r>
    </w:p>
    <w:p w:rsidRPr="00EA1163" w:rsidR="00D639B3" w:rsidP="00EA1163" w:rsidRDefault="00D639B3" w14:paraId="3F9499EC" w14:textId="635AE72E">
      <w:pPr>
        <w:pStyle w:val="ListParagraph"/>
        <w:numPr>
          <w:ilvl w:val="0"/>
          <w:numId w:val="13"/>
        </w:numPr>
        <w:spacing w:after="160"/>
        <w:ind w:left="360"/>
        <w:contextualSpacing/>
        <w:jc w:val="both"/>
        <w:rPr>
          <w:rFonts w:cstheme="minorHAnsi"/>
          <w:sz w:val="20"/>
          <w:szCs w:val="20"/>
          <w:lang w:val="en-GB"/>
        </w:rPr>
      </w:pPr>
      <w:r w:rsidRPr="00EA1163">
        <w:rPr>
          <w:rFonts w:cstheme="minorHAnsi"/>
          <w:sz w:val="20"/>
          <w:szCs w:val="20"/>
          <w:lang w:val="en-GB"/>
        </w:rPr>
        <w:t xml:space="preserve">The health sector struggled with global supply chain interruptions due to the COVID-19 pandemic </w:t>
      </w:r>
      <w:r w:rsidRPr="00EA1163" w:rsidR="006C2F0A">
        <w:rPr>
          <w:rFonts w:cstheme="minorHAnsi"/>
          <w:sz w:val="20"/>
          <w:szCs w:val="20"/>
          <w:lang w:val="en-GB"/>
        </w:rPr>
        <w:t>which</w:t>
      </w:r>
      <w:r w:rsidRPr="00EA1163">
        <w:rPr>
          <w:rFonts w:cstheme="minorHAnsi"/>
          <w:sz w:val="20"/>
          <w:szCs w:val="20"/>
          <w:lang w:val="en-GB"/>
        </w:rPr>
        <w:t xml:space="preserve"> impacted not only critical COVID response materials like PPE and ventilators, but also international production, conveyance and supply of routine, essential medicines, supplies and equipment; including key</w:t>
      </w:r>
      <w:r>
        <w:rPr>
          <w:rFonts w:cstheme="minorHAnsi"/>
          <w:sz w:val="20"/>
          <w:szCs w:val="20"/>
          <w:lang w:val="en-GB"/>
        </w:rPr>
        <w:t xml:space="preserve"> </w:t>
      </w:r>
      <w:r w:rsidRPr="00EA1163">
        <w:rPr>
          <w:rFonts w:cstheme="minorHAnsi"/>
          <w:sz w:val="20"/>
          <w:szCs w:val="20"/>
          <w:lang w:val="en-GB"/>
        </w:rPr>
        <w:t>materials for surveillance and laboratories.</w:t>
      </w:r>
    </w:p>
    <w:p w:rsidRPr="000C4CCC" w:rsidR="000C4CCC" w:rsidP="00EA1163" w:rsidRDefault="00D639B3" w14:paraId="6CA8671B" w14:textId="4E83649D">
      <w:pPr>
        <w:pStyle w:val="ListParagraph"/>
        <w:numPr>
          <w:ilvl w:val="0"/>
          <w:numId w:val="13"/>
        </w:numPr>
        <w:spacing w:after="160"/>
        <w:ind w:left="360"/>
        <w:contextualSpacing/>
        <w:jc w:val="both"/>
        <w:rPr>
          <w:rFonts w:cstheme="minorHAnsi"/>
          <w:sz w:val="20"/>
          <w:szCs w:val="20"/>
        </w:rPr>
      </w:pPr>
      <w:r w:rsidRPr="00EA1163">
        <w:rPr>
          <w:rFonts w:cstheme="minorHAnsi"/>
          <w:sz w:val="20"/>
          <w:szCs w:val="20"/>
          <w:lang w:val="en-GB"/>
        </w:rPr>
        <w:t>The COVID-19 response highlighted the chronic shortage of health care workers in many parts of Syria with more than 50% of the workforce estimated to have left the country. Human resource shortages are a chronic</w:t>
      </w:r>
      <w:r w:rsidRPr="00E65B2C">
        <w:rPr>
          <w:rFonts w:cstheme="minorHAnsi"/>
          <w:sz w:val="20"/>
          <w:szCs w:val="20"/>
        </w:rPr>
        <w:t xml:space="preserve"> challenge for the sector year after year that hinders not only emergency response capacity but also the delivery of comprehensive services. Essential health services for reproductive health (RH) and non-communicable diseases (NCDs) have also been disrupted by COVID-19 and supply chain issues. </w:t>
      </w:r>
    </w:p>
    <w:p w:rsidRPr="00E65B2C" w:rsidR="004D1344" w:rsidP="00EA1163" w:rsidRDefault="004D1344" w14:paraId="76B07FCE" w14:textId="77777777">
      <w:pPr>
        <w:pStyle w:val="ListParagraph"/>
        <w:spacing w:after="160"/>
        <w:contextualSpacing/>
        <w:jc w:val="both"/>
        <w:rPr>
          <w:rFonts w:cstheme="minorHAnsi"/>
          <w:sz w:val="20"/>
          <w:szCs w:val="20"/>
        </w:rPr>
      </w:pPr>
    </w:p>
    <w:p w:rsidRPr="00FE1B9A" w:rsidR="00D639B3" w:rsidP="00EA1163" w:rsidRDefault="00D639B3" w14:paraId="13885F7D" w14:textId="77777777">
      <w:pPr>
        <w:pStyle w:val="ListParagraph"/>
        <w:numPr>
          <w:ilvl w:val="0"/>
          <w:numId w:val="11"/>
        </w:numPr>
        <w:spacing w:after="160"/>
        <w:contextualSpacing/>
        <w:jc w:val="both"/>
        <w:rPr>
          <w:b/>
          <w:bCs/>
          <w:sz w:val="20"/>
          <w:szCs w:val="20"/>
        </w:rPr>
      </w:pPr>
      <w:r w:rsidRPr="00FE1B9A">
        <w:rPr>
          <w:b/>
          <w:bCs/>
          <w:sz w:val="20"/>
          <w:szCs w:val="20"/>
        </w:rPr>
        <w:t xml:space="preserve">Critical sector priorities in 2021:   </w:t>
      </w:r>
    </w:p>
    <w:p w:rsidRPr="00EA1163" w:rsidR="00D639B3" w:rsidP="00EA1163" w:rsidRDefault="00D639B3" w14:paraId="03B93370" w14:textId="77777777">
      <w:pPr>
        <w:pStyle w:val="ListParagraph"/>
        <w:numPr>
          <w:ilvl w:val="0"/>
          <w:numId w:val="14"/>
        </w:numPr>
        <w:spacing w:after="160"/>
        <w:contextualSpacing/>
        <w:rPr>
          <w:rFonts w:cstheme="minorHAnsi"/>
          <w:sz w:val="20"/>
          <w:szCs w:val="20"/>
          <w:lang w:val="en-GB"/>
        </w:rPr>
      </w:pPr>
      <w:r w:rsidRPr="00EA1163">
        <w:rPr>
          <w:rFonts w:cstheme="minorHAnsi"/>
          <w:sz w:val="20"/>
          <w:szCs w:val="20"/>
          <w:lang w:val="en-GB"/>
        </w:rPr>
        <w:t xml:space="preserve">Possible successive waves of COVID-19 or new disease outbreaks remain a key threat to health and require the sector to maintain and enhance surveillance and response capacity at all levels of the health system. Ensuring equitable rollout of COVID-19 vaccination to all areas is a new and critical part of the 2021 humanitarian response, as well as strengthened efforts to ensure immunization for all childhood diseases – particularly in areas of low coverage and where breaks in services have occurred. </w:t>
      </w:r>
    </w:p>
    <w:p w:rsidR="00D639B3" w:rsidP="00EA1163" w:rsidRDefault="00D639B3" w14:paraId="72F6F0E1" w14:textId="77777777">
      <w:pPr>
        <w:pStyle w:val="ListParagraph"/>
        <w:numPr>
          <w:ilvl w:val="0"/>
          <w:numId w:val="14"/>
        </w:numPr>
        <w:spacing w:after="160"/>
        <w:contextualSpacing/>
        <w:rPr>
          <w:rFonts w:cstheme="minorHAnsi"/>
          <w:sz w:val="20"/>
          <w:szCs w:val="20"/>
          <w:lang w:val="en-GB"/>
        </w:rPr>
      </w:pPr>
      <w:r w:rsidRPr="00EA1163">
        <w:rPr>
          <w:rFonts w:cstheme="minorHAnsi"/>
          <w:sz w:val="20"/>
          <w:szCs w:val="20"/>
          <w:lang w:val="en-GB"/>
        </w:rPr>
        <w:t xml:space="preserve">Key changes made by the health sector within our </w:t>
      </w:r>
      <w:proofErr w:type="spellStart"/>
      <w:r w:rsidRPr="00EA1163">
        <w:rPr>
          <w:rFonts w:cstheme="minorHAnsi"/>
          <w:sz w:val="20"/>
          <w:szCs w:val="20"/>
          <w:lang w:val="en-GB"/>
        </w:rPr>
        <w:t>logframe</w:t>
      </w:r>
      <w:proofErr w:type="spellEnd"/>
      <w:r w:rsidRPr="00EA1163">
        <w:rPr>
          <w:rFonts w:cstheme="minorHAnsi"/>
          <w:sz w:val="20"/>
          <w:szCs w:val="20"/>
          <w:lang w:val="en-GB"/>
        </w:rPr>
        <w:t xml:space="preserve"> include a more needs-based rather than achievement-based target setting for neglected areas such as mental health, physical rehabilitation and referrals. The re-set will better demonstrate needs and gaps, particularly among vulnerable populations.</w:t>
      </w:r>
    </w:p>
    <w:p w:rsidRPr="00E65B2C" w:rsidR="00D639B3" w:rsidP="009F28DE" w:rsidRDefault="00D639B3" w14:paraId="0A551DAF" w14:textId="68A5494C">
      <w:pPr>
        <w:pStyle w:val="ListParagraph"/>
        <w:rPr>
          <w:b/>
          <w:bCs/>
        </w:rPr>
      </w:pPr>
      <w:r w:rsidRPr="00EA1163">
        <w:rPr>
          <w:rFonts w:cstheme="minorHAnsi"/>
          <w:sz w:val="20"/>
          <w:szCs w:val="20"/>
          <w:lang w:val="en-GB"/>
        </w:rPr>
        <w:t xml:space="preserve">Partners have renewed their focus strengthening and continuation of essential health services – with </w:t>
      </w:r>
      <w:proofErr w:type="gramStart"/>
      <w:r w:rsidRPr="00EA1163">
        <w:rPr>
          <w:rFonts w:cstheme="minorHAnsi"/>
          <w:sz w:val="20"/>
          <w:szCs w:val="20"/>
          <w:lang w:val="en-GB"/>
        </w:rPr>
        <w:t>particular focus</w:t>
      </w:r>
      <w:proofErr w:type="gramEnd"/>
      <w:r w:rsidRPr="00EA1163">
        <w:rPr>
          <w:rFonts w:cstheme="minorHAnsi"/>
          <w:sz w:val="20"/>
          <w:szCs w:val="20"/>
          <w:lang w:val="en-GB"/>
        </w:rPr>
        <w:t xml:space="preserve"> on NCDs, RH and referral – in all high-severity/under-served locations and IDP camps.  Health system</w:t>
      </w:r>
      <w:r w:rsidRPr="00E65B2C">
        <w:rPr>
          <w:rFonts w:cstheme="minorHAnsi"/>
          <w:sz w:val="20"/>
          <w:szCs w:val="20"/>
        </w:rPr>
        <w:t xml:space="preserve"> strengthening interventions at community level, including mobile medical units and community engagement, are a pillar of the 2021 health response and help to promote resilience.</w:t>
      </w:r>
    </w:p>
    <w:p w:rsidRPr="006A07FD" w:rsidR="006A07FD" w:rsidP="00EA1163" w:rsidRDefault="006A07FD" w14:paraId="69641CAB" w14:textId="77777777">
      <w:pPr>
        <w:pStyle w:val="ListParagraph"/>
        <w:spacing w:after="160"/>
        <w:ind w:left="360"/>
        <w:contextualSpacing/>
        <w:jc w:val="both"/>
        <w:rPr>
          <w:rFonts w:cstheme="minorHAnsi"/>
          <w:b/>
          <w:bCs/>
          <w:sz w:val="20"/>
          <w:szCs w:val="20"/>
        </w:rPr>
      </w:pPr>
    </w:p>
    <w:p w:rsidRPr="00FE1B9A" w:rsidR="00D639B3" w:rsidP="00EA1163" w:rsidRDefault="00D639B3" w14:paraId="7E6069AF" w14:textId="77777777">
      <w:pPr>
        <w:pStyle w:val="ListParagraph"/>
        <w:numPr>
          <w:ilvl w:val="0"/>
          <w:numId w:val="11"/>
        </w:numPr>
        <w:spacing w:after="160"/>
        <w:contextualSpacing/>
        <w:jc w:val="both"/>
        <w:rPr>
          <w:rFonts w:cstheme="minorHAnsi"/>
          <w:b/>
          <w:bCs/>
          <w:sz w:val="20"/>
          <w:szCs w:val="20"/>
        </w:rPr>
      </w:pPr>
      <w:r w:rsidRPr="00FE1B9A">
        <w:rPr>
          <w:b/>
          <w:bCs/>
          <w:sz w:val="20"/>
          <w:szCs w:val="20"/>
        </w:rPr>
        <w:t>Key messages to donors as at June 2021 (which the HCs could help amplify):</w:t>
      </w:r>
    </w:p>
    <w:p w:rsidRPr="00FE1B9A" w:rsidR="00D639B3" w:rsidP="00EA1163" w:rsidRDefault="00D639B3" w14:paraId="5ECF7005" w14:textId="77777777">
      <w:pPr>
        <w:pStyle w:val="ListParagraph"/>
        <w:numPr>
          <w:ilvl w:val="0"/>
          <w:numId w:val="14"/>
        </w:numPr>
        <w:spacing w:after="160"/>
        <w:contextualSpacing/>
        <w:rPr>
          <w:rFonts w:cstheme="minorHAnsi"/>
          <w:sz w:val="20"/>
          <w:szCs w:val="20"/>
          <w:lang w:val="en-GB"/>
        </w:rPr>
      </w:pPr>
      <w:r w:rsidRPr="00FE1B9A">
        <w:rPr>
          <w:rFonts w:cstheme="minorHAnsi"/>
          <w:sz w:val="20"/>
          <w:szCs w:val="20"/>
          <w:lang w:val="en-GB"/>
        </w:rPr>
        <w:t xml:space="preserve">COVID-19 has underscored how continued and emerging threats to health </w:t>
      </w:r>
      <w:r w:rsidRPr="00E65B2C">
        <w:rPr>
          <w:rFonts w:cstheme="minorHAnsi"/>
          <w:sz w:val="20"/>
          <w:szCs w:val="20"/>
          <w:lang w:val="en-GB"/>
        </w:rPr>
        <w:t>demand that health actors lay the groundwork for a more resilient health system</w:t>
      </w:r>
      <w:r w:rsidRPr="00FE1B9A">
        <w:rPr>
          <w:rFonts w:cstheme="minorHAnsi"/>
          <w:sz w:val="20"/>
          <w:szCs w:val="20"/>
          <w:u w:val="single"/>
          <w:lang w:val="en-GB"/>
        </w:rPr>
        <w:t>.</w:t>
      </w:r>
      <w:r w:rsidRPr="00FE1B9A">
        <w:rPr>
          <w:rFonts w:cstheme="minorHAnsi"/>
          <w:sz w:val="20"/>
          <w:szCs w:val="20"/>
          <w:lang w:val="en-GB"/>
        </w:rPr>
        <w:t xml:space="preserve"> Support for key interventions such as capacity-building and rehabilitation and refurbishment of health structures is critical to avoid increased mortality and morbidity among an already-vulnerable population.</w:t>
      </w:r>
    </w:p>
    <w:p w:rsidRPr="00FE1B9A" w:rsidR="00D639B3" w:rsidP="00EA1163" w:rsidRDefault="00D639B3" w14:paraId="570954AB" w14:textId="77777777">
      <w:pPr>
        <w:pStyle w:val="ListParagraph"/>
        <w:numPr>
          <w:ilvl w:val="0"/>
          <w:numId w:val="14"/>
        </w:numPr>
        <w:spacing w:after="160"/>
        <w:contextualSpacing/>
        <w:rPr>
          <w:rFonts w:cstheme="minorHAnsi"/>
          <w:sz w:val="20"/>
          <w:szCs w:val="20"/>
          <w:lang w:val="en-GB"/>
        </w:rPr>
      </w:pPr>
      <w:proofErr w:type="gramStart"/>
      <w:r w:rsidRPr="00FE1B9A">
        <w:rPr>
          <w:rFonts w:cstheme="minorHAnsi"/>
          <w:sz w:val="20"/>
          <w:szCs w:val="20"/>
          <w:lang w:val="en-GB"/>
        </w:rPr>
        <w:t>Sufficient</w:t>
      </w:r>
      <w:proofErr w:type="gramEnd"/>
      <w:r w:rsidRPr="00FE1B9A">
        <w:rPr>
          <w:rFonts w:cstheme="minorHAnsi"/>
          <w:sz w:val="20"/>
          <w:szCs w:val="20"/>
          <w:lang w:val="en-GB"/>
        </w:rPr>
        <w:t xml:space="preserve"> and predictable funding streams are a critical part of retaining the already-depleted health care workforce, maintaining health facilities’ functionality and preventing critical shortages and interruptions in medicines, supplies, equipment or operational support. Failure to ensure comprehensive services and continuity of care undermines health equity, public trust and collective action to protect health.</w:t>
      </w:r>
    </w:p>
    <w:p w:rsidRPr="00E513BD" w:rsidR="00CE68ED" w:rsidP="00EA1163" w:rsidRDefault="00D639B3" w14:paraId="259AA5EA" w14:textId="4D8EBF9A">
      <w:pPr>
        <w:pStyle w:val="ListParagraph"/>
        <w:numPr>
          <w:ilvl w:val="0"/>
          <w:numId w:val="14"/>
        </w:numPr>
        <w:spacing w:after="160"/>
        <w:contextualSpacing/>
        <w:rPr>
          <w:rFonts w:cstheme="minorBidi"/>
          <w:sz w:val="20"/>
          <w:szCs w:val="20"/>
          <w:lang w:val="en-GB"/>
        </w:rPr>
      </w:pPr>
      <w:r w:rsidRPr="3B041750">
        <w:rPr>
          <w:rFonts w:cstheme="minorBidi"/>
          <w:sz w:val="20"/>
          <w:szCs w:val="20"/>
          <w:lang w:val="en-GB"/>
        </w:rPr>
        <w:t>Even amidst a reduction in overall hostilities, health care remains at risk. In 2021, there have been at least 10 reported attacks on health care (9 confirmed) resulting in 10 deaths and 27 injuries. 5 of these attacks also affected health facilities. Advocacy must continue at all levels for protection of health care.</w:t>
      </w:r>
    </w:p>
    <w:p w:rsidR="00700131" w:rsidP="00EA1163" w:rsidRDefault="00700131" w14:paraId="06724B01" w14:textId="77777777">
      <w:pPr>
        <w:spacing w:line="240" w:lineRule="auto"/>
        <w:rPr>
          <w:rFonts w:cstheme="minorHAnsi"/>
          <w:b/>
          <w:sz w:val="20"/>
          <w:szCs w:val="20"/>
        </w:rPr>
      </w:pPr>
    </w:p>
    <w:p w:rsidRPr="00E65B2C" w:rsidR="00D639B3" w:rsidP="00EA1163" w:rsidRDefault="00D639B3" w14:paraId="164737B6" w14:textId="4E721434">
      <w:pPr>
        <w:spacing w:line="240" w:lineRule="auto"/>
        <w:rPr>
          <w:rFonts w:cstheme="minorHAnsi"/>
          <w:sz w:val="20"/>
          <w:szCs w:val="20"/>
        </w:rPr>
      </w:pPr>
      <w:r w:rsidRPr="006C2F0A">
        <w:rPr>
          <w:rFonts w:cstheme="minorHAnsi"/>
          <w:b/>
          <w:sz w:val="20"/>
          <w:szCs w:val="20"/>
        </w:rPr>
        <w:t>Top appealing organizations in the sector</w:t>
      </w:r>
      <w:r w:rsidRPr="00E65B2C">
        <w:rPr>
          <w:rFonts w:cstheme="minorHAnsi"/>
          <w:sz w:val="20"/>
          <w:szCs w:val="20"/>
        </w:rPr>
        <w:t xml:space="preserve">: </w:t>
      </w:r>
    </w:p>
    <w:p w:rsidRPr="00FE1B9A" w:rsidR="00D639B3" w:rsidP="00D639B3" w:rsidRDefault="00D639B3" w14:paraId="14F32CA6" w14:textId="77777777">
      <w:pPr>
        <w:pStyle w:val="ListParagraph"/>
        <w:ind w:left="792"/>
        <w:rPr>
          <w:rFonts w:cstheme="minorHAnsi"/>
          <w:sz w:val="20"/>
          <w:szCs w:val="20"/>
        </w:rPr>
      </w:pPr>
    </w:p>
    <w:tbl>
      <w:tblPr>
        <w:tblW w:w="10140" w:type="dxa"/>
        <w:jc w:val="center"/>
        <w:tblLook w:val="04A0" w:firstRow="1" w:lastRow="0" w:firstColumn="1" w:lastColumn="0" w:noHBand="0" w:noVBand="1"/>
      </w:tblPr>
      <w:tblGrid>
        <w:gridCol w:w="2401"/>
        <w:gridCol w:w="1231"/>
        <w:gridCol w:w="1085"/>
        <w:gridCol w:w="1231"/>
        <w:gridCol w:w="888"/>
        <w:gridCol w:w="3304"/>
      </w:tblGrid>
      <w:tr w:rsidRPr="0055416D" w:rsidR="0055416D" w:rsidTr="00700131" w14:paraId="2B701E53" w14:textId="77777777">
        <w:trPr>
          <w:trHeight w:val="407"/>
          <w:jc w:val="center"/>
        </w:trPr>
        <w:tc>
          <w:tcPr>
            <w:tcW w:w="2401" w:type="dxa"/>
            <w:tcBorders>
              <w:top w:val="single" w:color="4472C4" w:sz="4" w:space="0"/>
              <w:left w:val="single" w:color="4472C4" w:sz="4" w:space="0"/>
              <w:bottom w:val="nil"/>
              <w:right w:val="nil"/>
            </w:tcBorders>
            <w:shd w:val="clear" w:color="4472C4" w:fill="4472C4"/>
            <w:vAlign w:val="center"/>
            <w:hideMark/>
          </w:tcPr>
          <w:p w:rsidRPr="0055416D" w:rsidR="0055416D" w:rsidP="0055416D" w:rsidRDefault="0055416D" w14:paraId="30AE8277" w14:textId="77777777">
            <w:pPr>
              <w:spacing w:after="0" w:line="240" w:lineRule="auto"/>
              <w:rPr>
                <w:rFonts w:ascii="Calibri" w:hAnsi="Calibri" w:eastAsia="Times New Roman" w:cs="Times New Roman"/>
                <w:b/>
                <w:bCs/>
                <w:color w:val="FFFFFF"/>
                <w:sz w:val="18"/>
                <w:szCs w:val="18"/>
                <w:lang w:eastAsia="zh-CN"/>
              </w:rPr>
            </w:pPr>
            <w:r w:rsidRPr="0055416D">
              <w:rPr>
                <w:rFonts w:ascii="Calibri" w:hAnsi="Calibri" w:eastAsia="Times New Roman" w:cs="Times New Roman"/>
                <w:b/>
                <w:bCs/>
                <w:color w:val="FFFFFF"/>
                <w:sz w:val="18"/>
                <w:szCs w:val="18"/>
                <w:lang w:eastAsia="zh-CN"/>
              </w:rPr>
              <w:t>Organizations</w:t>
            </w:r>
          </w:p>
        </w:tc>
        <w:tc>
          <w:tcPr>
            <w:tcW w:w="1231" w:type="dxa"/>
            <w:tcBorders>
              <w:top w:val="single" w:color="4472C4" w:sz="4" w:space="0"/>
              <w:left w:val="nil"/>
              <w:bottom w:val="nil"/>
              <w:right w:val="nil"/>
            </w:tcBorders>
            <w:shd w:val="clear" w:color="4472C4" w:fill="4472C4"/>
            <w:vAlign w:val="bottom"/>
            <w:hideMark/>
          </w:tcPr>
          <w:p w:rsidRPr="0055416D" w:rsidR="0055416D" w:rsidP="0055416D" w:rsidRDefault="0055416D" w14:paraId="31CFE88C" w14:textId="77777777">
            <w:pPr>
              <w:spacing w:after="0" w:line="240" w:lineRule="auto"/>
              <w:jc w:val="right"/>
              <w:rPr>
                <w:rFonts w:ascii="Calibri" w:hAnsi="Calibri" w:eastAsia="Times New Roman" w:cs="Times New Roman"/>
                <w:b/>
                <w:bCs/>
                <w:color w:val="FFFFFF"/>
                <w:sz w:val="18"/>
                <w:szCs w:val="18"/>
                <w:lang w:eastAsia="zh-CN"/>
              </w:rPr>
            </w:pPr>
            <w:r w:rsidRPr="0055416D">
              <w:rPr>
                <w:rFonts w:ascii="Calibri" w:hAnsi="Calibri" w:eastAsia="Times New Roman" w:cs="Times New Roman"/>
                <w:b/>
                <w:bCs/>
                <w:color w:val="FFFFFF"/>
                <w:sz w:val="18"/>
                <w:szCs w:val="18"/>
                <w:lang w:eastAsia="zh-CN"/>
              </w:rPr>
              <w:t xml:space="preserve"> 2020 requirements US$ </w:t>
            </w:r>
          </w:p>
        </w:tc>
        <w:tc>
          <w:tcPr>
            <w:tcW w:w="1085" w:type="dxa"/>
            <w:tcBorders>
              <w:top w:val="single" w:color="4472C4" w:sz="4" w:space="0"/>
              <w:left w:val="nil"/>
              <w:bottom w:val="nil"/>
              <w:right w:val="nil"/>
            </w:tcBorders>
            <w:shd w:val="clear" w:color="4472C4" w:fill="4472C4"/>
            <w:vAlign w:val="bottom"/>
            <w:hideMark/>
          </w:tcPr>
          <w:p w:rsidRPr="0055416D" w:rsidR="0055416D" w:rsidP="0055416D" w:rsidRDefault="0055416D" w14:paraId="10190A1F" w14:textId="77777777">
            <w:pPr>
              <w:spacing w:after="0" w:line="240" w:lineRule="auto"/>
              <w:jc w:val="right"/>
              <w:rPr>
                <w:rFonts w:ascii="Calibri" w:hAnsi="Calibri" w:eastAsia="Times New Roman" w:cs="Times New Roman"/>
                <w:b/>
                <w:bCs/>
                <w:color w:val="FFFFFF"/>
                <w:sz w:val="18"/>
                <w:szCs w:val="18"/>
                <w:lang w:eastAsia="zh-CN"/>
              </w:rPr>
            </w:pPr>
            <w:r w:rsidRPr="0055416D">
              <w:rPr>
                <w:rFonts w:ascii="Calibri" w:hAnsi="Calibri" w:eastAsia="Times New Roman" w:cs="Times New Roman"/>
                <w:b/>
                <w:bCs/>
                <w:color w:val="FFFFFF"/>
                <w:sz w:val="18"/>
                <w:szCs w:val="18"/>
                <w:lang w:eastAsia="zh-CN"/>
              </w:rPr>
              <w:t xml:space="preserve">2020 </w:t>
            </w:r>
            <w:r w:rsidRPr="0055416D">
              <w:rPr>
                <w:rFonts w:ascii="Calibri" w:hAnsi="Calibri" w:eastAsia="Times New Roman" w:cs="Times New Roman"/>
                <w:b/>
                <w:bCs/>
                <w:color w:val="FFFFFF"/>
                <w:sz w:val="18"/>
                <w:szCs w:val="18"/>
                <w:lang w:eastAsia="zh-CN"/>
              </w:rPr>
              <w:br/>
            </w:r>
            <w:r w:rsidRPr="0055416D">
              <w:rPr>
                <w:rFonts w:ascii="Calibri" w:hAnsi="Calibri" w:eastAsia="Times New Roman" w:cs="Times New Roman"/>
                <w:b/>
                <w:bCs/>
                <w:color w:val="FFFFFF"/>
                <w:sz w:val="18"/>
                <w:szCs w:val="18"/>
                <w:lang w:eastAsia="zh-CN"/>
              </w:rPr>
              <w:t>Coverage %</w:t>
            </w:r>
          </w:p>
        </w:tc>
        <w:tc>
          <w:tcPr>
            <w:tcW w:w="1231" w:type="dxa"/>
            <w:tcBorders>
              <w:top w:val="single" w:color="4472C4" w:sz="4" w:space="0"/>
              <w:left w:val="nil"/>
              <w:bottom w:val="nil"/>
              <w:right w:val="nil"/>
            </w:tcBorders>
            <w:shd w:val="clear" w:color="4472C4" w:fill="4472C4"/>
            <w:vAlign w:val="bottom"/>
            <w:hideMark/>
          </w:tcPr>
          <w:p w:rsidRPr="0055416D" w:rsidR="0055416D" w:rsidP="0055416D" w:rsidRDefault="0055416D" w14:paraId="2BA5F0C6" w14:textId="77777777">
            <w:pPr>
              <w:spacing w:after="0" w:line="240" w:lineRule="auto"/>
              <w:jc w:val="right"/>
              <w:rPr>
                <w:rFonts w:ascii="Calibri" w:hAnsi="Calibri" w:eastAsia="Times New Roman" w:cs="Times New Roman"/>
                <w:b/>
                <w:bCs/>
                <w:color w:val="FFFFFF"/>
                <w:sz w:val="18"/>
                <w:szCs w:val="18"/>
                <w:lang w:eastAsia="zh-CN"/>
              </w:rPr>
            </w:pPr>
            <w:r w:rsidRPr="0055416D">
              <w:rPr>
                <w:rFonts w:ascii="Calibri" w:hAnsi="Calibri" w:eastAsia="Times New Roman" w:cs="Times New Roman"/>
                <w:b/>
                <w:bCs/>
                <w:color w:val="FFFFFF"/>
                <w:sz w:val="18"/>
                <w:szCs w:val="18"/>
                <w:lang w:eastAsia="zh-CN"/>
              </w:rPr>
              <w:t xml:space="preserve"> 2021 requirements US$ </w:t>
            </w:r>
          </w:p>
        </w:tc>
        <w:tc>
          <w:tcPr>
            <w:tcW w:w="888" w:type="dxa"/>
            <w:tcBorders>
              <w:top w:val="single" w:color="4472C4" w:sz="4" w:space="0"/>
              <w:left w:val="nil"/>
              <w:bottom w:val="nil"/>
              <w:right w:val="nil"/>
            </w:tcBorders>
            <w:shd w:val="clear" w:color="4472C4" w:fill="4472C4"/>
            <w:vAlign w:val="bottom"/>
            <w:hideMark/>
          </w:tcPr>
          <w:p w:rsidRPr="0055416D" w:rsidR="0055416D" w:rsidP="0055416D" w:rsidRDefault="0055416D" w14:paraId="1812A789" w14:textId="77777777">
            <w:pPr>
              <w:spacing w:after="0" w:line="240" w:lineRule="auto"/>
              <w:jc w:val="right"/>
              <w:rPr>
                <w:rFonts w:ascii="Calibri" w:hAnsi="Calibri" w:eastAsia="Times New Roman" w:cs="Times New Roman"/>
                <w:b/>
                <w:bCs/>
                <w:color w:val="FFFFFF"/>
                <w:sz w:val="18"/>
                <w:szCs w:val="18"/>
                <w:lang w:eastAsia="zh-CN"/>
              </w:rPr>
            </w:pPr>
            <w:r w:rsidRPr="0055416D">
              <w:rPr>
                <w:rFonts w:ascii="Calibri" w:hAnsi="Calibri" w:eastAsia="Times New Roman" w:cs="Times New Roman"/>
                <w:b/>
                <w:bCs/>
                <w:color w:val="FFFFFF"/>
                <w:sz w:val="18"/>
                <w:szCs w:val="18"/>
                <w:lang w:eastAsia="zh-CN"/>
              </w:rPr>
              <w:t>% variation to 2020</w:t>
            </w:r>
          </w:p>
        </w:tc>
        <w:tc>
          <w:tcPr>
            <w:tcW w:w="3304" w:type="dxa"/>
            <w:tcBorders>
              <w:top w:val="single" w:color="4472C4" w:sz="4" w:space="0"/>
              <w:left w:val="nil"/>
              <w:bottom w:val="nil"/>
              <w:right w:val="single" w:color="4472C4" w:sz="4" w:space="0"/>
            </w:tcBorders>
            <w:shd w:val="clear" w:color="4472C4" w:fill="4472C4"/>
            <w:vAlign w:val="bottom"/>
            <w:hideMark/>
          </w:tcPr>
          <w:p w:rsidRPr="0055416D" w:rsidR="0055416D" w:rsidP="0055416D" w:rsidRDefault="0055416D" w14:paraId="1EB1F0D0" w14:textId="77777777">
            <w:pPr>
              <w:spacing w:after="0" w:line="240" w:lineRule="auto"/>
              <w:rPr>
                <w:rFonts w:ascii="Calibri" w:hAnsi="Calibri" w:eastAsia="Times New Roman" w:cs="Times New Roman"/>
                <w:b/>
                <w:bCs/>
                <w:color w:val="FFFFFF"/>
                <w:sz w:val="18"/>
                <w:szCs w:val="18"/>
                <w:lang w:eastAsia="zh-CN"/>
              </w:rPr>
            </w:pPr>
            <w:r w:rsidRPr="0055416D">
              <w:rPr>
                <w:rFonts w:ascii="Calibri" w:hAnsi="Calibri" w:eastAsia="Times New Roman" w:cs="Times New Roman"/>
                <w:b/>
                <w:bCs/>
                <w:color w:val="FFFFFF"/>
                <w:sz w:val="18"/>
                <w:szCs w:val="18"/>
                <w:lang w:eastAsia="zh-CN"/>
              </w:rPr>
              <w:t xml:space="preserve"> Geographic coverage</w:t>
            </w:r>
            <w:r w:rsidRPr="0055416D">
              <w:rPr>
                <w:rFonts w:ascii="Calibri" w:hAnsi="Calibri" w:eastAsia="Times New Roman" w:cs="Times New Roman"/>
                <w:b/>
                <w:bCs/>
                <w:color w:val="FFFFFF"/>
                <w:sz w:val="18"/>
                <w:szCs w:val="18"/>
                <w:lang w:eastAsia="zh-CN"/>
              </w:rPr>
              <w:br/>
            </w:r>
            <w:r w:rsidRPr="0055416D">
              <w:rPr>
                <w:rFonts w:ascii="Calibri" w:hAnsi="Calibri" w:eastAsia="Times New Roman" w:cs="Times New Roman"/>
                <w:b/>
                <w:bCs/>
                <w:color w:val="FFFFFF"/>
                <w:sz w:val="18"/>
                <w:szCs w:val="18"/>
                <w:lang w:eastAsia="zh-CN"/>
              </w:rPr>
              <w:t xml:space="preserve">(main governorates) </w:t>
            </w:r>
          </w:p>
        </w:tc>
      </w:tr>
      <w:tr w:rsidRPr="0055416D" w:rsidR="0055416D" w:rsidTr="00700131" w14:paraId="6E434B89" w14:textId="77777777">
        <w:trPr>
          <w:trHeight w:val="238"/>
          <w:jc w:val="center"/>
        </w:trPr>
        <w:tc>
          <w:tcPr>
            <w:tcW w:w="2401" w:type="dxa"/>
            <w:tcBorders>
              <w:top w:val="single" w:color="4472C4" w:sz="4" w:space="0"/>
              <w:left w:val="single" w:color="4472C4" w:sz="4" w:space="0"/>
              <w:bottom w:val="nil"/>
              <w:right w:val="nil"/>
            </w:tcBorders>
            <w:shd w:val="clear" w:color="auto" w:fill="auto"/>
            <w:vAlign w:val="center"/>
            <w:hideMark/>
          </w:tcPr>
          <w:p w:rsidRPr="0055416D" w:rsidR="0055416D" w:rsidP="0055416D" w:rsidRDefault="0055416D" w14:paraId="074829ED"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World Health Organization</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767D1F6B"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xml:space="preserve">              159,097,900 </w:t>
            </w:r>
          </w:p>
        </w:tc>
        <w:tc>
          <w:tcPr>
            <w:tcW w:w="1085" w:type="dxa"/>
            <w:tcBorders>
              <w:top w:val="single" w:color="4472C4" w:sz="4" w:space="0"/>
              <w:left w:val="nil"/>
              <w:bottom w:val="nil"/>
              <w:right w:val="nil"/>
            </w:tcBorders>
            <w:shd w:val="clear" w:color="000000" w:fill="FFF2CC"/>
            <w:noWrap/>
            <w:vAlign w:val="bottom"/>
            <w:hideMark/>
          </w:tcPr>
          <w:p w:rsidRPr="0055416D" w:rsidR="0055416D" w:rsidP="0055416D" w:rsidRDefault="0055416D" w14:paraId="392B4029"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40%</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4B493B23" w14:textId="77777777">
            <w:pPr>
              <w:spacing w:after="0" w:line="240" w:lineRule="auto"/>
              <w:jc w:val="right"/>
              <w:rPr>
                <w:rFonts w:ascii="Calibri" w:hAnsi="Calibri" w:eastAsia="Times New Roman" w:cs="Times New Roman"/>
                <w:b/>
                <w:bCs/>
                <w:color w:val="000000"/>
                <w:sz w:val="18"/>
                <w:szCs w:val="18"/>
                <w:lang w:eastAsia="zh-CN"/>
              </w:rPr>
            </w:pPr>
            <w:r w:rsidRPr="0055416D">
              <w:rPr>
                <w:rFonts w:ascii="Calibri" w:hAnsi="Calibri" w:eastAsia="Times New Roman" w:cs="Times New Roman"/>
                <w:b/>
                <w:bCs/>
                <w:color w:val="000000"/>
                <w:sz w:val="18"/>
                <w:szCs w:val="18"/>
                <w:lang w:eastAsia="zh-CN"/>
              </w:rPr>
              <w:t xml:space="preserve">              238,966,204 </w:t>
            </w:r>
          </w:p>
        </w:tc>
        <w:tc>
          <w:tcPr>
            <w:tcW w:w="888" w:type="dxa"/>
            <w:tcBorders>
              <w:top w:val="single" w:color="4472C4" w:sz="4" w:space="0"/>
              <w:left w:val="nil"/>
              <w:bottom w:val="nil"/>
              <w:right w:val="nil"/>
            </w:tcBorders>
            <w:shd w:val="clear" w:color="000000" w:fill="FFCCCC"/>
            <w:noWrap/>
            <w:vAlign w:val="bottom"/>
            <w:hideMark/>
          </w:tcPr>
          <w:p w:rsidRPr="0055416D" w:rsidR="0055416D" w:rsidP="0055416D" w:rsidRDefault="0055416D" w14:paraId="536E8A2D"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50%</w:t>
            </w:r>
          </w:p>
        </w:tc>
        <w:tc>
          <w:tcPr>
            <w:tcW w:w="3304" w:type="dxa"/>
            <w:tcBorders>
              <w:top w:val="single" w:color="4472C4" w:sz="4" w:space="0"/>
              <w:left w:val="nil"/>
              <w:bottom w:val="nil"/>
              <w:right w:val="single" w:color="4472C4" w:sz="4" w:space="0"/>
            </w:tcBorders>
            <w:shd w:val="clear" w:color="auto" w:fill="auto"/>
            <w:vAlign w:val="bottom"/>
            <w:hideMark/>
          </w:tcPr>
          <w:p w:rsidRPr="0055416D" w:rsidR="0055416D" w:rsidP="0055416D" w:rsidRDefault="0055416D" w14:paraId="52B7BFBB"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All 14 governorates</w:t>
            </w:r>
          </w:p>
        </w:tc>
      </w:tr>
      <w:tr w:rsidRPr="0055416D" w:rsidR="0055416D" w:rsidTr="00700131" w14:paraId="56A00C8E" w14:textId="77777777">
        <w:trPr>
          <w:trHeight w:val="238"/>
          <w:jc w:val="center"/>
        </w:trPr>
        <w:tc>
          <w:tcPr>
            <w:tcW w:w="2401" w:type="dxa"/>
            <w:tcBorders>
              <w:top w:val="single" w:color="4472C4" w:sz="4" w:space="0"/>
              <w:left w:val="single" w:color="4472C4" w:sz="4" w:space="0"/>
              <w:bottom w:val="nil"/>
              <w:right w:val="nil"/>
            </w:tcBorders>
            <w:shd w:val="clear" w:color="auto" w:fill="auto"/>
            <w:vAlign w:val="center"/>
            <w:hideMark/>
          </w:tcPr>
          <w:p w:rsidRPr="0055416D" w:rsidR="0055416D" w:rsidP="0055416D" w:rsidRDefault="0055416D" w14:paraId="26B5C879"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United Nations Children's Fund</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26D88D9F"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xml:space="preserve">                30,598,147 </w:t>
            </w:r>
          </w:p>
        </w:tc>
        <w:tc>
          <w:tcPr>
            <w:tcW w:w="1085" w:type="dxa"/>
            <w:tcBorders>
              <w:top w:val="single" w:color="4472C4" w:sz="4" w:space="0"/>
              <w:left w:val="nil"/>
              <w:bottom w:val="nil"/>
              <w:right w:val="nil"/>
            </w:tcBorders>
            <w:shd w:val="clear" w:color="000000" w:fill="FFCCCC"/>
            <w:noWrap/>
            <w:vAlign w:val="bottom"/>
            <w:hideMark/>
          </w:tcPr>
          <w:p w:rsidRPr="0055416D" w:rsidR="0055416D" w:rsidP="0055416D" w:rsidRDefault="0055416D" w14:paraId="5CBDC10F"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25%</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76A45468" w14:textId="77777777">
            <w:pPr>
              <w:spacing w:after="0" w:line="240" w:lineRule="auto"/>
              <w:jc w:val="right"/>
              <w:rPr>
                <w:rFonts w:ascii="Calibri" w:hAnsi="Calibri" w:eastAsia="Times New Roman" w:cs="Times New Roman"/>
                <w:b/>
                <w:bCs/>
                <w:color w:val="000000"/>
                <w:sz w:val="18"/>
                <w:szCs w:val="18"/>
                <w:lang w:eastAsia="zh-CN"/>
              </w:rPr>
            </w:pPr>
            <w:r w:rsidRPr="0055416D">
              <w:rPr>
                <w:rFonts w:ascii="Calibri" w:hAnsi="Calibri" w:eastAsia="Times New Roman" w:cs="Times New Roman"/>
                <w:b/>
                <w:bCs/>
                <w:color w:val="000000"/>
                <w:sz w:val="18"/>
                <w:szCs w:val="18"/>
                <w:lang w:eastAsia="zh-CN"/>
              </w:rPr>
              <w:t xml:space="preserve">                44,191,000 </w:t>
            </w:r>
          </w:p>
        </w:tc>
        <w:tc>
          <w:tcPr>
            <w:tcW w:w="888" w:type="dxa"/>
            <w:tcBorders>
              <w:top w:val="single" w:color="4472C4" w:sz="4" w:space="0"/>
              <w:left w:val="nil"/>
              <w:bottom w:val="nil"/>
              <w:right w:val="nil"/>
            </w:tcBorders>
            <w:shd w:val="clear" w:color="000000" w:fill="FFF2CC"/>
            <w:noWrap/>
            <w:vAlign w:val="bottom"/>
            <w:hideMark/>
          </w:tcPr>
          <w:p w:rsidRPr="0055416D" w:rsidR="0055416D" w:rsidP="0055416D" w:rsidRDefault="0055416D" w14:paraId="19471291"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44%</w:t>
            </w:r>
          </w:p>
        </w:tc>
        <w:tc>
          <w:tcPr>
            <w:tcW w:w="3304" w:type="dxa"/>
            <w:tcBorders>
              <w:top w:val="single" w:color="4472C4" w:sz="4" w:space="0"/>
              <w:left w:val="nil"/>
              <w:bottom w:val="nil"/>
              <w:right w:val="single" w:color="4472C4" w:sz="4" w:space="0"/>
            </w:tcBorders>
            <w:shd w:val="clear" w:color="auto" w:fill="auto"/>
            <w:vAlign w:val="bottom"/>
            <w:hideMark/>
          </w:tcPr>
          <w:p w:rsidRPr="0055416D" w:rsidR="0055416D" w:rsidP="0055416D" w:rsidRDefault="0055416D" w14:paraId="56A01705"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All 14 governorates</w:t>
            </w:r>
          </w:p>
        </w:tc>
      </w:tr>
      <w:tr w:rsidRPr="0055416D" w:rsidR="0055416D" w:rsidTr="00700131" w14:paraId="161791A9" w14:textId="77777777">
        <w:trPr>
          <w:trHeight w:val="397"/>
          <w:jc w:val="center"/>
        </w:trPr>
        <w:tc>
          <w:tcPr>
            <w:tcW w:w="2401" w:type="dxa"/>
            <w:tcBorders>
              <w:top w:val="single" w:color="4472C4" w:sz="4" w:space="0"/>
              <w:left w:val="single" w:color="4472C4" w:sz="4" w:space="0"/>
              <w:bottom w:val="nil"/>
              <w:right w:val="nil"/>
            </w:tcBorders>
            <w:shd w:val="clear" w:color="auto" w:fill="auto"/>
            <w:vAlign w:val="center"/>
            <w:hideMark/>
          </w:tcPr>
          <w:p w:rsidRPr="0055416D" w:rsidR="0055416D" w:rsidP="0055416D" w:rsidRDefault="0055416D" w14:paraId="550E9972"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Syrian American Medical Society Foundation</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2C219FE7"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xml:space="preserve">                21,653,954 </w:t>
            </w:r>
          </w:p>
        </w:tc>
        <w:tc>
          <w:tcPr>
            <w:tcW w:w="1085" w:type="dxa"/>
            <w:tcBorders>
              <w:top w:val="single" w:color="4472C4" w:sz="4" w:space="0"/>
              <w:left w:val="nil"/>
              <w:bottom w:val="nil"/>
              <w:right w:val="nil"/>
            </w:tcBorders>
            <w:shd w:val="clear" w:color="000000" w:fill="C6E0B4"/>
            <w:noWrap/>
            <w:vAlign w:val="bottom"/>
            <w:hideMark/>
          </w:tcPr>
          <w:p w:rsidRPr="0055416D" w:rsidR="0055416D" w:rsidP="0055416D" w:rsidRDefault="0055416D" w14:paraId="21003391"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120%</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1FC70291" w14:textId="77777777">
            <w:pPr>
              <w:spacing w:after="0" w:line="240" w:lineRule="auto"/>
              <w:jc w:val="right"/>
              <w:rPr>
                <w:rFonts w:ascii="Calibri" w:hAnsi="Calibri" w:eastAsia="Times New Roman" w:cs="Times New Roman"/>
                <w:b/>
                <w:bCs/>
                <w:color w:val="000000"/>
                <w:sz w:val="18"/>
                <w:szCs w:val="18"/>
                <w:lang w:eastAsia="zh-CN"/>
              </w:rPr>
            </w:pPr>
            <w:r w:rsidRPr="0055416D">
              <w:rPr>
                <w:rFonts w:ascii="Calibri" w:hAnsi="Calibri" w:eastAsia="Times New Roman" w:cs="Times New Roman"/>
                <w:b/>
                <w:bCs/>
                <w:color w:val="000000"/>
                <w:sz w:val="18"/>
                <w:szCs w:val="18"/>
                <w:lang w:eastAsia="zh-CN"/>
              </w:rPr>
              <w:t xml:space="preserve">                30,665,054 </w:t>
            </w:r>
          </w:p>
        </w:tc>
        <w:tc>
          <w:tcPr>
            <w:tcW w:w="888" w:type="dxa"/>
            <w:tcBorders>
              <w:top w:val="single" w:color="4472C4" w:sz="4" w:space="0"/>
              <w:left w:val="nil"/>
              <w:bottom w:val="nil"/>
              <w:right w:val="nil"/>
            </w:tcBorders>
            <w:shd w:val="clear" w:color="000000" w:fill="FFF2CC"/>
            <w:noWrap/>
            <w:vAlign w:val="bottom"/>
            <w:hideMark/>
          </w:tcPr>
          <w:p w:rsidRPr="0055416D" w:rsidR="0055416D" w:rsidP="0055416D" w:rsidRDefault="0055416D" w14:paraId="30BA33B1"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42%</w:t>
            </w:r>
          </w:p>
        </w:tc>
        <w:tc>
          <w:tcPr>
            <w:tcW w:w="3304" w:type="dxa"/>
            <w:tcBorders>
              <w:top w:val="single" w:color="4472C4" w:sz="4" w:space="0"/>
              <w:left w:val="nil"/>
              <w:bottom w:val="nil"/>
              <w:right w:val="single" w:color="4472C4" w:sz="4" w:space="0"/>
            </w:tcBorders>
            <w:shd w:val="clear" w:color="auto" w:fill="auto"/>
            <w:vAlign w:val="bottom"/>
            <w:hideMark/>
          </w:tcPr>
          <w:p w:rsidRPr="0055416D" w:rsidR="0055416D" w:rsidP="0055416D" w:rsidRDefault="0055416D" w14:paraId="725DDDEC"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5416D">
              <w:rPr>
                <w:rFonts w:ascii="Calibri" w:hAnsi="Calibri" w:eastAsia="Times New Roman" w:cs="Times New Roman"/>
                <w:color w:val="000000"/>
                <w:sz w:val="18"/>
                <w:szCs w:val="18"/>
                <w:lang w:eastAsia="zh-CN"/>
              </w:rPr>
              <w:t>Aleppo;Al</w:t>
            </w:r>
            <w:proofErr w:type="gramEnd"/>
            <w:r w:rsidRPr="0055416D">
              <w:rPr>
                <w:rFonts w:ascii="Calibri" w:hAnsi="Calibri" w:eastAsia="Times New Roman" w:cs="Times New Roman"/>
                <w:color w:val="000000"/>
                <w:sz w:val="18"/>
                <w:szCs w:val="18"/>
                <w:lang w:eastAsia="zh-CN"/>
              </w:rPr>
              <w:t>-Hasakeh;Ar-Raqqa;Idleb</w:t>
            </w:r>
            <w:proofErr w:type="spellEnd"/>
          </w:p>
        </w:tc>
      </w:tr>
      <w:tr w:rsidRPr="0055416D" w:rsidR="0055416D" w:rsidTr="00700131" w14:paraId="76D36115" w14:textId="77777777">
        <w:trPr>
          <w:trHeight w:val="238"/>
          <w:jc w:val="center"/>
        </w:trPr>
        <w:tc>
          <w:tcPr>
            <w:tcW w:w="2401" w:type="dxa"/>
            <w:tcBorders>
              <w:top w:val="single" w:color="4472C4" w:sz="4" w:space="0"/>
              <w:left w:val="single" w:color="4472C4" w:sz="4" w:space="0"/>
              <w:bottom w:val="nil"/>
              <w:right w:val="nil"/>
            </w:tcBorders>
            <w:shd w:val="clear" w:color="auto" w:fill="auto"/>
            <w:vAlign w:val="center"/>
            <w:hideMark/>
          </w:tcPr>
          <w:p w:rsidRPr="0055416D" w:rsidR="0055416D" w:rsidP="0055416D" w:rsidRDefault="0055416D" w14:paraId="2535FFB4"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Relief International</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239F66A6"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w:t>
            </w:r>
          </w:p>
        </w:tc>
        <w:tc>
          <w:tcPr>
            <w:tcW w:w="1085" w:type="dxa"/>
            <w:tcBorders>
              <w:top w:val="single" w:color="4472C4" w:sz="4" w:space="0"/>
              <w:left w:val="nil"/>
              <w:bottom w:val="nil"/>
              <w:right w:val="nil"/>
            </w:tcBorders>
            <w:shd w:val="clear" w:color="000000" w:fill="FFFFFF"/>
            <w:noWrap/>
            <w:vAlign w:val="bottom"/>
            <w:hideMark/>
          </w:tcPr>
          <w:p w:rsidRPr="0055416D" w:rsidR="0055416D" w:rsidP="0055416D" w:rsidRDefault="0055416D" w14:paraId="3531A202"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4C20E6F1" w14:textId="77777777">
            <w:pPr>
              <w:spacing w:after="0" w:line="240" w:lineRule="auto"/>
              <w:jc w:val="right"/>
              <w:rPr>
                <w:rFonts w:ascii="Calibri" w:hAnsi="Calibri" w:eastAsia="Times New Roman" w:cs="Times New Roman"/>
                <w:b/>
                <w:bCs/>
                <w:color w:val="000000"/>
                <w:sz w:val="18"/>
                <w:szCs w:val="18"/>
                <w:lang w:eastAsia="zh-CN"/>
              </w:rPr>
            </w:pPr>
            <w:r w:rsidRPr="0055416D">
              <w:rPr>
                <w:rFonts w:ascii="Calibri" w:hAnsi="Calibri" w:eastAsia="Times New Roman" w:cs="Times New Roman"/>
                <w:b/>
                <w:bCs/>
                <w:color w:val="000000"/>
                <w:sz w:val="18"/>
                <w:szCs w:val="18"/>
                <w:lang w:eastAsia="zh-CN"/>
              </w:rPr>
              <w:t xml:space="preserve">                29,109,196 </w:t>
            </w:r>
          </w:p>
        </w:tc>
        <w:tc>
          <w:tcPr>
            <w:tcW w:w="888" w:type="dxa"/>
            <w:tcBorders>
              <w:top w:val="single" w:color="4472C4" w:sz="4" w:space="0"/>
              <w:left w:val="nil"/>
              <w:bottom w:val="nil"/>
              <w:right w:val="nil"/>
            </w:tcBorders>
            <w:shd w:val="clear" w:color="000000" w:fill="FFFFFF"/>
            <w:noWrap/>
            <w:vAlign w:val="bottom"/>
            <w:hideMark/>
          </w:tcPr>
          <w:p w:rsidRPr="0055416D" w:rsidR="0055416D" w:rsidP="0055416D" w:rsidRDefault="0055416D" w14:paraId="25487894"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w:t>
            </w:r>
          </w:p>
        </w:tc>
        <w:tc>
          <w:tcPr>
            <w:tcW w:w="3304" w:type="dxa"/>
            <w:tcBorders>
              <w:top w:val="single" w:color="4472C4" w:sz="4" w:space="0"/>
              <w:left w:val="nil"/>
              <w:bottom w:val="nil"/>
              <w:right w:val="single" w:color="4472C4" w:sz="4" w:space="0"/>
            </w:tcBorders>
            <w:shd w:val="clear" w:color="auto" w:fill="auto"/>
            <w:vAlign w:val="bottom"/>
            <w:hideMark/>
          </w:tcPr>
          <w:p w:rsidRPr="0055416D" w:rsidR="0055416D" w:rsidP="0055416D" w:rsidRDefault="0055416D" w14:paraId="6846951D"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5416D">
              <w:rPr>
                <w:rFonts w:ascii="Calibri" w:hAnsi="Calibri" w:eastAsia="Times New Roman" w:cs="Times New Roman"/>
                <w:color w:val="000000"/>
                <w:sz w:val="18"/>
                <w:szCs w:val="18"/>
                <w:lang w:eastAsia="zh-CN"/>
              </w:rPr>
              <w:t>Aleppo;Idleb</w:t>
            </w:r>
            <w:proofErr w:type="spellEnd"/>
            <w:proofErr w:type="gramEnd"/>
          </w:p>
        </w:tc>
      </w:tr>
      <w:tr w:rsidRPr="0055416D" w:rsidR="0055416D" w:rsidTr="00700131" w14:paraId="50A143DB" w14:textId="77777777">
        <w:trPr>
          <w:trHeight w:val="238"/>
          <w:jc w:val="center"/>
        </w:trPr>
        <w:tc>
          <w:tcPr>
            <w:tcW w:w="2401" w:type="dxa"/>
            <w:tcBorders>
              <w:top w:val="single" w:color="4472C4" w:sz="4" w:space="0"/>
              <w:left w:val="single" w:color="4472C4" w:sz="4" w:space="0"/>
              <w:bottom w:val="nil"/>
              <w:right w:val="nil"/>
            </w:tcBorders>
            <w:shd w:val="clear" w:color="auto" w:fill="auto"/>
            <w:vAlign w:val="center"/>
            <w:hideMark/>
          </w:tcPr>
          <w:p w:rsidRPr="0055416D" w:rsidR="0055416D" w:rsidP="0055416D" w:rsidRDefault="0055416D" w14:paraId="264063E2"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United Nations Population Fund</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0F449552"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xml:space="preserve">                20,466,000 </w:t>
            </w:r>
          </w:p>
        </w:tc>
        <w:tc>
          <w:tcPr>
            <w:tcW w:w="1085" w:type="dxa"/>
            <w:tcBorders>
              <w:top w:val="single" w:color="4472C4" w:sz="4" w:space="0"/>
              <w:left w:val="nil"/>
              <w:bottom w:val="nil"/>
              <w:right w:val="nil"/>
            </w:tcBorders>
            <w:shd w:val="clear" w:color="000000" w:fill="FFCCCC"/>
            <w:noWrap/>
            <w:vAlign w:val="bottom"/>
            <w:hideMark/>
          </w:tcPr>
          <w:p w:rsidRPr="0055416D" w:rsidR="0055416D" w:rsidP="0055416D" w:rsidRDefault="0055416D" w14:paraId="55211173"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-2%</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70A75E7D" w14:textId="77777777">
            <w:pPr>
              <w:spacing w:after="0" w:line="240" w:lineRule="auto"/>
              <w:jc w:val="right"/>
              <w:rPr>
                <w:rFonts w:ascii="Calibri" w:hAnsi="Calibri" w:eastAsia="Times New Roman" w:cs="Times New Roman"/>
                <w:b/>
                <w:bCs/>
                <w:color w:val="000000"/>
                <w:sz w:val="18"/>
                <w:szCs w:val="18"/>
                <w:lang w:eastAsia="zh-CN"/>
              </w:rPr>
            </w:pPr>
            <w:r w:rsidRPr="0055416D">
              <w:rPr>
                <w:rFonts w:ascii="Calibri" w:hAnsi="Calibri" w:eastAsia="Times New Roman" w:cs="Times New Roman"/>
                <w:b/>
                <w:bCs/>
                <w:color w:val="000000"/>
                <w:sz w:val="18"/>
                <w:szCs w:val="18"/>
                <w:lang w:eastAsia="zh-CN"/>
              </w:rPr>
              <w:t xml:space="preserve">                28,676,000 </w:t>
            </w:r>
          </w:p>
        </w:tc>
        <w:tc>
          <w:tcPr>
            <w:tcW w:w="888" w:type="dxa"/>
            <w:tcBorders>
              <w:top w:val="single" w:color="4472C4" w:sz="4" w:space="0"/>
              <w:left w:val="nil"/>
              <w:bottom w:val="nil"/>
              <w:right w:val="nil"/>
            </w:tcBorders>
            <w:shd w:val="clear" w:color="000000" w:fill="FFF2CC"/>
            <w:noWrap/>
            <w:vAlign w:val="bottom"/>
            <w:hideMark/>
          </w:tcPr>
          <w:p w:rsidRPr="0055416D" w:rsidR="0055416D" w:rsidP="0055416D" w:rsidRDefault="0055416D" w14:paraId="5FE0C8F6"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40%</w:t>
            </w:r>
          </w:p>
        </w:tc>
        <w:tc>
          <w:tcPr>
            <w:tcW w:w="3304" w:type="dxa"/>
            <w:tcBorders>
              <w:top w:val="single" w:color="4472C4" w:sz="4" w:space="0"/>
              <w:left w:val="nil"/>
              <w:bottom w:val="nil"/>
              <w:right w:val="single" w:color="4472C4" w:sz="4" w:space="0"/>
            </w:tcBorders>
            <w:shd w:val="clear" w:color="auto" w:fill="auto"/>
            <w:vAlign w:val="bottom"/>
            <w:hideMark/>
          </w:tcPr>
          <w:p w:rsidRPr="0055416D" w:rsidR="0055416D" w:rsidP="0055416D" w:rsidRDefault="0055416D" w14:paraId="4D8A6068"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All 14 governorates</w:t>
            </w:r>
          </w:p>
        </w:tc>
      </w:tr>
      <w:tr w:rsidRPr="0055416D" w:rsidR="0055416D" w:rsidTr="00700131" w14:paraId="59306D2C" w14:textId="77777777">
        <w:trPr>
          <w:trHeight w:val="397"/>
          <w:jc w:val="center"/>
        </w:trPr>
        <w:tc>
          <w:tcPr>
            <w:tcW w:w="2401" w:type="dxa"/>
            <w:tcBorders>
              <w:top w:val="single" w:color="4472C4" w:sz="4" w:space="0"/>
              <w:left w:val="single" w:color="4472C4" w:sz="4" w:space="0"/>
              <w:bottom w:val="nil"/>
              <w:right w:val="nil"/>
            </w:tcBorders>
            <w:shd w:val="clear" w:color="auto" w:fill="auto"/>
            <w:vAlign w:val="center"/>
            <w:hideMark/>
          </w:tcPr>
          <w:p w:rsidRPr="0055416D" w:rsidR="0055416D" w:rsidP="0055416D" w:rsidRDefault="0055416D" w14:paraId="55B50CBD"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xml:space="preserve">Doctors of the World Turkey </w:t>
            </w:r>
            <w:proofErr w:type="gramStart"/>
            <w:r w:rsidRPr="0055416D">
              <w:rPr>
                <w:rFonts w:ascii="Calibri" w:hAnsi="Calibri" w:eastAsia="Times New Roman" w:cs="Times New Roman"/>
                <w:color w:val="000000"/>
                <w:sz w:val="18"/>
                <w:szCs w:val="18"/>
                <w:lang w:eastAsia="zh-CN"/>
              </w:rPr>
              <w:t xml:space="preserve">( </w:t>
            </w:r>
            <w:proofErr w:type="spellStart"/>
            <w:r w:rsidRPr="0055416D">
              <w:rPr>
                <w:rFonts w:ascii="Calibri" w:hAnsi="Calibri" w:eastAsia="Times New Roman" w:cs="Times New Roman"/>
                <w:color w:val="000000"/>
                <w:sz w:val="18"/>
                <w:szCs w:val="18"/>
                <w:lang w:eastAsia="zh-CN"/>
              </w:rPr>
              <w:t>Dünya</w:t>
            </w:r>
            <w:proofErr w:type="spellEnd"/>
            <w:proofErr w:type="gramEnd"/>
            <w:r w:rsidRPr="0055416D">
              <w:rPr>
                <w:rFonts w:ascii="Calibri" w:hAnsi="Calibri" w:eastAsia="Times New Roman" w:cs="Times New Roman"/>
                <w:color w:val="000000"/>
                <w:sz w:val="18"/>
                <w:szCs w:val="18"/>
                <w:lang w:eastAsia="zh-CN"/>
              </w:rPr>
              <w:t xml:space="preserve"> </w:t>
            </w:r>
            <w:proofErr w:type="spellStart"/>
            <w:r w:rsidRPr="0055416D">
              <w:rPr>
                <w:rFonts w:ascii="Calibri" w:hAnsi="Calibri" w:eastAsia="Times New Roman" w:cs="Times New Roman"/>
                <w:color w:val="000000"/>
                <w:sz w:val="18"/>
                <w:szCs w:val="18"/>
                <w:lang w:eastAsia="zh-CN"/>
              </w:rPr>
              <w:t>Doktorları</w:t>
            </w:r>
            <w:proofErr w:type="spellEnd"/>
            <w:r w:rsidRPr="0055416D">
              <w:rPr>
                <w:rFonts w:ascii="Calibri" w:hAnsi="Calibri" w:eastAsia="Times New Roman" w:cs="Times New Roman"/>
                <w:color w:val="000000"/>
                <w:sz w:val="18"/>
                <w:szCs w:val="18"/>
                <w:lang w:eastAsia="zh-CN"/>
              </w:rPr>
              <w:t xml:space="preserve"> </w:t>
            </w:r>
            <w:proofErr w:type="spellStart"/>
            <w:r w:rsidRPr="0055416D">
              <w:rPr>
                <w:rFonts w:ascii="Calibri" w:hAnsi="Calibri" w:eastAsia="Times New Roman" w:cs="Times New Roman"/>
                <w:color w:val="000000"/>
                <w:sz w:val="18"/>
                <w:szCs w:val="18"/>
                <w:lang w:eastAsia="zh-CN"/>
              </w:rPr>
              <w:t>Derneği</w:t>
            </w:r>
            <w:proofErr w:type="spellEnd"/>
            <w:r w:rsidRPr="0055416D">
              <w:rPr>
                <w:rFonts w:ascii="Calibri" w:hAnsi="Calibri" w:eastAsia="Times New Roman" w:cs="Times New Roman"/>
                <w:color w:val="000000"/>
                <w:sz w:val="18"/>
                <w:szCs w:val="18"/>
                <w:lang w:eastAsia="zh-CN"/>
              </w:rPr>
              <w:t xml:space="preserve"> )</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1DB682E2"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xml:space="preserve">                11,023,961 </w:t>
            </w:r>
          </w:p>
        </w:tc>
        <w:tc>
          <w:tcPr>
            <w:tcW w:w="1085" w:type="dxa"/>
            <w:tcBorders>
              <w:top w:val="single" w:color="4472C4" w:sz="4" w:space="0"/>
              <w:left w:val="nil"/>
              <w:bottom w:val="nil"/>
              <w:right w:val="nil"/>
            </w:tcBorders>
            <w:shd w:val="clear" w:color="000000" w:fill="FFF2CC"/>
            <w:noWrap/>
            <w:vAlign w:val="bottom"/>
            <w:hideMark/>
          </w:tcPr>
          <w:p w:rsidRPr="0055416D" w:rsidR="0055416D" w:rsidP="0055416D" w:rsidRDefault="0055416D" w14:paraId="7DC7D1DE"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36%</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75CB3392" w14:textId="77777777">
            <w:pPr>
              <w:spacing w:after="0" w:line="240" w:lineRule="auto"/>
              <w:jc w:val="right"/>
              <w:rPr>
                <w:rFonts w:ascii="Calibri" w:hAnsi="Calibri" w:eastAsia="Times New Roman" w:cs="Times New Roman"/>
                <w:b/>
                <w:bCs/>
                <w:color w:val="000000"/>
                <w:sz w:val="18"/>
                <w:szCs w:val="18"/>
                <w:lang w:eastAsia="zh-CN"/>
              </w:rPr>
            </w:pPr>
            <w:r w:rsidRPr="0055416D">
              <w:rPr>
                <w:rFonts w:ascii="Calibri" w:hAnsi="Calibri" w:eastAsia="Times New Roman" w:cs="Times New Roman"/>
                <w:b/>
                <w:bCs/>
                <w:color w:val="000000"/>
                <w:sz w:val="18"/>
                <w:szCs w:val="18"/>
                <w:lang w:eastAsia="zh-CN"/>
              </w:rPr>
              <w:t xml:space="preserve">                15,106,647 </w:t>
            </w:r>
          </w:p>
        </w:tc>
        <w:tc>
          <w:tcPr>
            <w:tcW w:w="888" w:type="dxa"/>
            <w:tcBorders>
              <w:top w:val="single" w:color="4472C4" w:sz="4" w:space="0"/>
              <w:left w:val="nil"/>
              <w:bottom w:val="nil"/>
              <w:right w:val="nil"/>
            </w:tcBorders>
            <w:shd w:val="clear" w:color="000000" w:fill="FFF2CC"/>
            <w:noWrap/>
            <w:vAlign w:val="bottom"/>
            <w:hideMark/>
          </w:tcPr>
          <w:p w:rsidRPr="0055416D" w:rsidR="0055416D" w:rsidP="0055416D" w:rsidRDefault="0055416D" w14:paraId="0F86670C"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37%</w:t>
            </w:r>
          </w:p>
        </w:tc>
        <w:tc>
          <w:tcPr>
            <w:tcW w:w="3304" w:type="dxa"/>
            <w:tcBorders>
              <w:top w:val="single" w:color="4472C4" w:sz="4" w:space="0"/>
              <w:left w:val="nil"/>
              <w:bottom w:val="nil"/>
              <w:right w:val="single" w:color="4472C4" w:sz="4" w:space="0"/>
            </w:tcBorders>
            <w:shd w:val="clear" w:color="auto" w:fill="auto"/>
            <w:vAlign w:val="bottom"/>
            <w:hideMark/>
          </w:tcPr>
          <w:p w:rsidRPr="0055416D" w:rsidR="0055416D" w:rsidP="0055416D" w:rsidRDefault="0055416D" w14:paraId="322BE657"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5416D">
              <w:rPr>
                <w:rFonts w:ascii="Calibri" w:hAnsi="Calibri" w:eastAsia="Times New Roman" w:cs="Times New Roman"/>
                <w:color w:val="000000"/>
                <w:sz w:val="18"/>
                <w:szCs w:val="18"/>
                <w:lang w:eastAsia="zh-CN"/>
              </w:rPr>
              <w:t>Aleppo;Idleb</w:t>
            </w:r>
            <w:proofErr w:type="spellEnd"/>
            <w:proofErr w:type="gramEnd"/>
          </w:p>
        </w:tc>
      </w:tr>
      <w:tr w:rsidRPr="0055416D" w:rsidR="0055416D" w:rsidTr="00700131" w14:paraId="65BA796B" w14:textId="77777777">
        <w:trPr>
          <w:trHeight w:val="238"/>
          <w:jc w:val="center"/>
        </w:trPr>
        <w:tc>
          <w:tcPr>
            <w:tcW w:w="2401" w:type="dxa"/>
            <w:tcBorders>
              <w:top w:val="single" w:color="4472C4" w:sz="4" w:space="0"/>
              <w:left w:val="single" w:color="4472C4" w:sz="4" w:space="0"/>
              <w:bottom w:val="nil"/>
              <w:right w:val="nil"/>
            </w:tcBorders>
            <w:shd w:val="clear" w:color="auto" w:fill="auto"/>
            <w:vAlign w:val="center"/>
            <w:hideMark/>
          </w:tcPr>
          <w:p w:rsidRPr="0055416D" w:rsidR="0055416D" w:rsidP="0055416D" w:rsidRDefault="0055416D" w14:paraId="31D91B75"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Qatar Charity</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70FF359C"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xml:space="preserve">                   9,960,840 </w:t>
            </w:r>
          </w:p>
        </w:tc>
        <w:tc>
          <w:tcPr>
            <w:tcW w:w="1085" w:type="dxa"/>
            <w:tcBorders>
              <w:top w:val="single" w:color="4472C4" w:sz="4" w:space="0"/>
              <w:left w:val="nil"/>
              <w:bottom w:val="nil"/>
              <w:right w:val="nil"/>
            </w:tcBorders>
            <w:shd w:val="clear" w:color="000000" w:fill="FFCCCC"/>
            <w:noWrap/>
            <w:vAlign w:val="bottom"/>
            <w:hideMark/>
          </w:tcPr>
          <w:p w:rsidRPr="0055416D" w:rsidR="0055416D" w:rsidP="0055416D" w:rsidRDefault="0055416D" w14:paraId="09B8A746"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8%</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0BF5D6D0" w14:textId="77777777">
            <w:pPr>
              <w:spacing w:after="0" w:line="240" w:lineRule="auto"/>
              <w:jc w:val="right"/>
              <w:rPr>
                <w:rFonts w:ascii="Calibri" w:hAnsi="Calibri" w:eastAsia="Times New Roman" w:cs="Times New Roman"/>
                <w:b/>
                <w:bCs/>
                <w:color w:val="000000"/>
                <w:sz w:val="18"/>
                <w:szCs w:val="18"/>
                <w:lang w:eastAsia="zh-CN"/>
              </w:rPr>
            </w:pPr>
            <w:r w:rsidRPr="0055416D">
              <w:rPr>
                <w:rFonts w:ascii="Calibri" w:hAnsi="Calibri" w:eastAsia="Times New Roman" w:cs="Times New Roman"/>
                <w:b/>
                <w:bCs/>
                <w:color w:val="000000"/>
                <w:sz w:val="18"/>
                <w:szCs w:val="18"/>
                <w:lang w:eastAsia="zh-CN"/>
              </w:rPr>
              <w:t xml:space="preserve">                12,700,000 </w:t>
            </w:r>
          </w:p>
        </w:tc>
        <w:tc>
          <w:tcPr>
            <w:tcW w:w="888" w:type="dxa"/>
            <w:tcBorders>
              <w:top w:val="single" w:color="4472C4" w:sz="4" w:space="0"/>
              <w:left w:val="nil"/>
              <w:bottom w:val="nil"/>
              <w:right w:val="nil"/>
            </w:tcBorders>
            <w:shd w:val="clear" w:color="000000" w:fill="FFF2CC"/>
            <w:noWrap/>
            <w:vAlign w:val="bottom"/>
            <w:hideMark/>
          </w:tcPr>
          <w:p w:rsidRPr="0055416D" w:rsidR="0055416D" w:rsidP="0055416D" w:rsidRDefault="0055416D" w14:paraId="713EADBF"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27%</w:t>
            </w:r>
          </w:p>
        </w:tc>
        <w:tc>
          <w:tcPr>
            <w:tcW w:w="3304" w:type="dxa"/>
            <w:tcBorders>
              <w:top w:val="single" w:color="4472C4" w:sz="4" w:space="0"/>
              <w:left w:val="nil"/>
              <w:bottom w:val="nil"/>
              <w:right w:val="single" w:color="4472C4" w:sz="4" w:space="0"/>
            </w:tcBorders>
            <w:shd w:val="clear" w:color="auto" w:fill="auto"/>
            <w:vAlign w:val="bottom"/>
            <w:hideMark/>
          </w:tcPr>
          <w:p w:rsidRPr="0055416D" w:rsidR="0055416D" w:rsidP="0055416D" w:rsidRDefault="0055416D" w14:paraId="0C9C5D78"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5416D">
              <w:rPr>
                <w:rFonts w:ascii="Calibri" w:hAnsi="Calibri" w:eastAsia="Times New Roman" w:cs="Times New Roman"/>
                <w:color w:val="000000"/>
                <w:sz w:val="18"/>
                <w:szCs w:val="18"/>
                <w:lang w:eastAsia="zh-CN"/>
              </w:rPr>
              <w:t>Aleppo;Al</w:t>
            </w:r>
            <w:proofErr w:type="gramEnd"/>
            <w:r w:rsidRPr="0055416D">
              <w:rPr>
                <w:rFonts w:ascii="Calibri" w:hAnsi="Calibri" w:eastAsia="Times New Roman" w:cs="Times New Roman"/>
                <w:color w:val="000000"/>
                <w:sz w:val="18"/>
                <w:szCs w:val="18"/>
                <w:lang w:eastAsia="zh-CN"/>
              </w:rPr>
              <w:t>-Hasakeh;Ar-Raqqa;Idleb</w:t>
            </w:r>
            <w:proofErr w:type="spellEnd"/>
          </w:p>
        </w:tc>
      </w:tr>
      <w:tr w:rsidRPr="0055416D" w:rsidR="0055416D" w:rsidTr="00700131" w14:paraId="6F63BD7F" w14:textId="77777777">
        <w:trPr>
          <w:trHeight w:val="238"/>
          <w:jc w:val="center"/>
        </w:trPr>
        <w:tc>
          <w:tcPr>
            <w:tcW w:w="2401" w:type="dxa"/>
            <w:tcBorders>
              <w:top w:val="single" w:color="4472C4" w:sz="4" w:space="0"/>
              <w:left w:val="single" w:color="4472C4" w:sz="4" w:space="0"/>
              <w:bottom w:val="nil"/>
              <w:right w:val="nil"/>
            </w:tcBorders>
            <w:shd w:val="clear" w:color="auto" w:fill="auto"/>
            <w:vAlign w:val="center"/>
            <w:hideMark/>
          </w:tcPr>
          <w:p w:rsidRPr="0055416D" w:rsidR="0055416D" w:rsidP="0055416D" w:rsidRDefault="0055416D" w14:paraId="3DD0D9E2" w14:textId="77777777">
            <w:pPr>
              <w:spacing w:after="0" w:line="240" w:lineRule="auto"/>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Un Ponte Per</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10438F0B"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 xml:space="preserve">                   5,514,751 </w:t>
            </w:r>
          </w:p>
        </w:tc>
        <w:tc>
          <w:tcPr>
            <w:tcW w:w="1085" w:type="dxa"/>
            <w:tcBorders>
              <w:top w:val="single" w:color="4472C4" w:sz="4" w:space="0"/>
              <w:left w:val="nil"/>
              <w:bottom w:val="nil"/>
              <w:right w:val="nil"/>
            </w:tcBorders>
            <w:shd w:val="clear" w:color="000000" w:fill="C6E0B4"/>
            <w:noWrap/>
            <w:vAlign w:val="bottom"/>
            <w:hideMark/>
          </w:tcPr>
          <w:p w:rsidRPr="0055416D" w:rsidR="0055416D" w:rsidP="0055416D" w:rsidRDefault="0055416D" w14:paraId="0AD3479B"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118%</w:t>
            </w:r>
          </w:p>
        </w:tc>
        <w:tc>
          <w:tcPr>
            <w:tcW w:w="1231" w:type="dxa"/>
            <w:tcBorders>
              <w:top w:val="single" w:color="4472C4" w:sz="4" w:space="0"/>
              <w:left w:val="nil"/>
              <w:bottom w:val="nil"/>
              <w:right w:val="nil"/>
            </w:tcBorders>
            <w:shd w:val="clear" w:color="auto" w:fill="auto"/>
            <w:noWrap/>
            <w:vAlign w:val="bottom"/>
            <w:hideMark/>
          </w:tcPr>
          <w:p w:rsidRPr="0055416D" w:rsidR="0055416D" w:rsidP="0055416D" w:rsidRDefault="0055416D" w14:paraId="666EB808" w14:textId="77777777">
            <w:pPr>
              <w:spacing w:after="0" w:line="240" w:lineRule="auto"/>
              <w:jc w:val="right"/>
              <w:rPr>
                <w:rFonts w:ascii="Calibri" w:hAnsi="Calibri" w:eastAsia="Times New Roman" w:cs="Times New Roman"/>
                <w:b/>
                <w:bCs/>
                <w:color w:val="000000"/>
                <w:sz w:val="18"/>
                <w:szCs w:val="18"/>
                <w:lang w:eastAsia="zh-CN"/>
              </w:rPr>
            </w:pPr>
            <w:r w:rsidRPr="0055416D">
              <w:rPr>
                <w:rFonts w:ascii="Calibri" w:hAnsi="Calibri" w:eastAsia="Times New Roman" w:cs="Times New Roman"/>
                <w:b/>
                <w:bCs/>
                <w:color w:val="000000"/>
                <w:sz w:val="18"/>
                <w:szCs w:val="18"/>
                <w:lang w:eastAsia="zh-CN"/>
              </w:rPr>
              <w:t xml:space="preserve">                12,070,000 </w:t>
            </w:r>
          </w:p>
        </w:tc>
        <w:tc>
          <w:tcPr>
            <w:tcW w:w="888" w:type="dxa"/>
            <w:tcBorders>
              <w:top w:val="single" w:color="4472C4" w:sz="4" w:space="0"/>
              <w:left w:val="nil"/>
              <w:bottom w:val="nil"/>
              <w:right w:val="nil"/>
            </w:tcBorders>
            <w:shd w:val="clear" w:color="000000" w:fill="FFCCCC"/>
            <w:noWrap/>
            <w:vAlign w:val="bottom"/>
            <w:hideMark/>
          </w:tcPr>
          <w:p w:rsidRPr="0055416D" w:rsidR="0055416D" w:rsidP="0055416D" w:rsidRDefault="0055416D" w14:paraId="409709FC"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119%</w:t>
            </w:r>
          </w:p>
        </w:tc>
        <w:tc>
          <w:tcPr>
            <w:tcW w:w="3304" w:type="dxa"/>
            <w:tcBorders>
              <w:top w:val="single" w:color="4472C4" w:sz="4" w:space="0"/>
              <w:left w:val="nil"/>
              <w:bottom w:val="nil"/>
              <w:right w:val="single" w:color="4472C4" w:sz="4" w:space="0"/>
            </w:tcBorders>
            <w:shd w:val="clear" w:color="auto" w:fill="auto"/>
            <w:vAlign w:val="bottom"/>
            <w:hideMark/>
          </w:tcPr>
          <w:p w:rsidRPr="0055416D" w:rsidR="0055416D" w:rsidP="0055416D" w:rsidRDefault="0055416D" w14:paraId="7D66E4C8"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5416D">
              <w:rPr>
                <w:rFonts w:ascii="Calibri" w:hAnsi="Calibri" w:eastAsia="Times New Roman" w:cs="Times New Roman"/>
                <w:color w:val="000000"/>
                <w:sz w:val="18"/>
                <w:szCs w:val="18"/>
                <w:lang w:eastAsia="zh-CN"/>
              </w:rPr>
              <w:t>Aleppo;Al</w:t>
            </w:r>
            <w:proofErr w:type="gramEnd"/>
            <w:r w:rsidRPr="0055416D">
              <w:rPr>
                <w:rFonts w:ascii="Calibri" w:hAnsi="Calibri" w:eastAsia="Times New Roman" w:cs="Times New Roman"/>
                <w:color w:val="000000"/>
                <w:sz w:val="18"/>
                <w:szCs w:val="18"/>
                <w:lang w:eastAsia="zh-CN"/>
              </w:rPr>
              <w:t>-Hasakeh;Ar-RaqqaDeir-ez-Zor</w:t>
            </w:r>
            <w:proofErr w:type="spellEnd"/>
            <w:r w:rsidRPr="0055416D">
              <w:rPr>
                <w:rFonts w:ascii="Calibri" w:hAnsi="Calibri" w:eastAsia="Times New Roman" w:cs="Times New Roman"/>
                <w:color w:val="000000"/>
                <w:sz w:val="18"/>
                <w:szCs w:val="18"/>
                <w:lang w:eastAsia="zh-CN"/>
              </w:rPr>
              <w:t>;</w:t>
            </w:r>
          </w:p>
        </w:tc>
      </w:tr>
      <w:tr w:rsidRPr="0055416D" w:rsidR="0055416D" w:rsidTr="00700131" w14:paraId="165A2982" w14:textId="77777777">
        <w:trPr>
          <w:trHeight w:val="397"/>
          <w:jc w:val="center"/>
        </w:trPr>
        <w:tc>
          <w:tcPr>
            <w:tcW w:w="2401" w:type="dxa"/>
            <w:tcBorders>
              <w:top w:val="single" w:color="4472C4" w:sz="4" w:space="0"/>
              <w:left w:val="single" w:color="4472C4" w:sz="4" w:space="0"/>
              <w:bottom w:val="single" w:color="4472C4" w:sz="4" w:space="0"/>
              <w:right w:val="nil"/>
            </w:tcBorders>
            <w:shd w:val="clear" w:color="auto" w:fill="auto"/>
            <w:vAlign w:val="center"/>
            <w:hideMark/>
          </w:tcPr>
          <w:p w:rsidRPr="0055416D" w:rsidR="0055416D" w:rsidP="0055416D" w:rsidRDefault="0055416D" w14:paraId="6069A041" w14:textId="77777777">
            <w:pPr>
              <w:spacing w:after="0" w:line="240" w:lineRule="auto"/>
              <w:rPr>
                <w:rFonts w:ascii="Calibri" w:hAnsi="Calibri" w:eastAsia="Times New Roman" w:cs="Times New Roman"/>
                <w:color w:val="000000"/>
                <w:sz w:val="18"/>
                <w:szCs w:val="18"/>
                <w:lang w:val="fr-FR" w:eastAsia="zh-CN"/>
              </w:rPr>
            </w:pPr>
            <w:r w:rsidRPr="0055416D">
              <w:rPr>
                <w:rFonts w:ascii="Calibri" w:hAnsi="Calibri" w:eastAsia="Times New Roman" w:cs="Times New Roman"/>
                <w:color w:val="000000"/>
                <w:sz w:val="18"/>
                <w:szCs w:val="18"/>
                <w:lang w:val="fr-FR" w:eastAsia="zh-CN"/>
              </w:rPr>
              <w:t>Union des Organisations Syrienne de Secours Médicaux</w:t>
            </w:r>
          </w:p>
        </w:tc>
        <w:tc>
          <w:tcPr>
            <w:tcW w:w="1231" w:type="dxa"/>
            <w:tcBorders>
              <w:top w:val="single" w:color="4472C4" w:sz="4" w:space="0"/>
              <w:left w:val="nil"/>
              <w:bottom w:val="single" w:color="4472C4" w:sz="4" w:space="0"/>
              <w:right w:val="nil"/>
            </w:tcBorders>
            <w:shd w:val="clear" w:color="auto" w:fill="auto"/>
            <w:noWrap/>
            <w:vAlign w:val="bottom"/>
            <w:hideMark/>
          </w:tcPr>
          <w:p w:rsidRPr="0055416D" w:rsidR="0055416D" w:rsidP="0055416D" w:rsidRDefault="0055416D" w14:paraId="4F35C5D7"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val="fr-FR" w:eastAsia="zh-CN"/>
              </w:rPr>
              <w:t xml:space="preserve">                </w:t>
            </w:r>
            <w:r w:rsidRPr="0055416D">
              <w:rPr>
                <w:rFonts w:ascii="Calibri" w:hAnsi="Calibri" w:eastAsia="Times New Roman" w:cs="Times New Roman"/>
                <w:color w:val="000000"/>
                <w:sz w:val="18"/>
                <w:szCs w:val="18"/>
                <w:lang w:eastAsia="zh-CN"/>
              </w:rPr>
              <w:t xml:space="preserve">10,405,931 </w:t>
            </w:r>
          </w:p>
        </w:tc>
        <w:tc>
          <w:tcPr>
            <w:tcW w:w="1085" w:type="dxa"/>
            <w:tcBorders>
              <w:top w:val="single" w:color="4472C4" w:sz="4" w:space="0"/>
              <w:left w:val="nil"/>
              <w:bottom w:val="single" w:color="4472C4" w:sz="4" w:space="0"/>
              <w:right w:val="nil"/>
            </w:tcBorders>
            <w:shd w:val="clear" w:color="000000" w:fill="FFF2CC"/>
            <w:noWrap/>
            <w:vAlign w:val="bottom"/>
            <w:hideMark/>
          </w:tcPr>
          <w:p w:rsidRPr="0055416D" w:rsidR="0055416D" w:rsidP="0055416D" w:rsidRDefault="0055416D" w14:paraId="5CF395FB"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34%</w:t>
            </w:r>
          </w:p>
        </w:tc>
        <w:tc>
          <w:tcPr>
            <w:tcW w:w="1231" w:type="dxa"/>
            <w:tcBorders>
              <w:top w:val="single" w:color="4472C4" w:sz="4" w:space="0"/>
              <w:left w:val="nil"/>
              <w:bottom w:val="single" w:color="4472C4" w:sz="4" w:space="0"/>
              <w:right w:val="nil"/>
            </w:tcBorders>
            <w:shd w:val="clear" w:color="auto" w:fill="auto"/>
            <w:noWrap/>
            <w:vAlign w:val="bottom"/>
            <w:hideMark/>
          </w:tcPr>
          <w:p w:rsidRPr="0055416D" w:rsidR="0055416D" w:rsidP="0055416D" w:rsidRDefault="0055416D" w14:paraId="07CDA5F7" w14:textId="77777777">
            <w:pPr>
              <w:spacing w:after="0" w:line="240" w:lineRule="auto"/>
              <w:jc w:val="right"/>
              <w:rPr>
                <w:rFonts w:ascii="Calibri" w:hAnsi="Calibri" w:eastAsia="Times New Roman" w:cs="Times New Roman"/>
                <w:b/>
                <w:bCs/>
                <w:color w:val="000000"/>
                <w:sz w:val="18"/>
                <w:szCs w:val="18"/>
                <w:lang w:eastAsia="zh-CN"/>
              </w:rPr>
            </w:pPr>
            <w:r w:rsidRPr="0055416D">
              <w:rPr>
                <w:rFonts w:ascii="Calibri" w:hAnsi="Calibri" w:eastAsia="Times New Roman" w:cs="Times New Roman"/>
                <w:b/>
                <w:bCs/>
                <w:color w:val="000000"/>
                <w:sz w:val="18"/>
                <w:szCs w:val="18"/>
                <w:lang w:eastAsia="zh-CN"/>
              </w:rPr>
              <w:t xml:space="preserve">                11,981,856 </w:t>
            </w:r>
          </w:p>
        </w:tc>
        <w:tc>
          <w:tcPr>
            <w:tcW w:w="888" w:type="dxa"/>
            <w:tcBorders>
              <w:top w:val="single" w:color="4472C4" w:sz="4" w:space="0"/>
              <w:left w:val="nil"/>
              <w:bottom w:val="nil"/>
              <w:right w:val="nil"/>
            </w:tcBorders>
            <w:shd w:val="clear" w:color="000000" w:fill="C6E0B4"/>
            <w:noWrap/>
            <w:vAlign w:val="bottom"/>
            <w:hideMark/>
          </w:tcPr>
          <w:p w:rsidRPr="0055416D" w:rsidR="0055416D" w:rsidP="0055416D" w:rsidRDefault="0055416D" w14:paraId="776497CB" w14:textId="77777777">
            <w:pPr>
              <w:spacing w:after="0" w:line="240" w:lineRule="auto"/>
              <w:jc w:val="right"/>
              <w:rPr>
                <w:rFonts w:ascii="Calibri" w:hAnsi="Calibri" w:eastAsia="Times New Roman" w:cs="Times New Roman"/>
                <w:color w:val="000000"/>
                <w:sz w:val="18"/>
                <w:szCs w:val="18"/>
                <w:lang w:eastAsia="zh-CN"/>
              </w:rPr>
            </w:pPr>
            <w:r w:rsidRPr="0055416D">
              <w:rPr>
                <w:rFonts w:ascii="Calibri" w:hAnsi="Calibri" w:eastAsia="Times New Roman" w:cs="Times New Roman"/>
                <w:color w:val="000000"/>
                <w:sz w:val="18"/>
                <w:szCs w:val="18"/>
                <w:lang w:eastAsia="zh-CN"/>
              </w:rPr>
              <w:t>15%</w:t>
            </w:r>
          </w:p>
        </w:tc>
        <w:tc>
          <w:tcPr>
            <w:tcW w:w="3304" w:type="dxa"/>
            <w:tcBorders>
              <w:top w:val="single" w:color="4472C4" w:sz="4" w:space="0"/>
              <w:left w:val="nil"/>
              <w:bottom w:val="single" w:color="4472C4" w:sz="4" w:space="0"/>
              <w:right w:val="single" w:color="4472C4" w:sz="4" w:space="0"/>
            </w:tcBorders>
            <w:shd w:val="clear" w:color="auto" w:fill="auto"/>
            <w:vAlign w:val="bottom"/>
            <w:hideMark/>
          </w:tcPr>
          <w:p w:rsidRPr="0055416D" w:rsidR="0055416D" w:rsidP="0055416D" w:rsidRDefault="0055416D" w14:paraId="6920473F"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5416D">
              <w:rPr>
                <w:rFonts w:ascii="Calibri" w:hAnsi="Calibri" w:eastAsia="Times New Roman" w:cs="Times New Roman"/>
                <w:color w:val="000000"/>
                <w:sz w:val="18"/>
                <w:szCs w:val="18"/>
                <w:lang w:eastAsia="zh-CN"/>
              </w:rPr>
              <w:t>Aleppo;Idleb</w:t>
            </w:r>
            <w:proofErr w:type="spellEnd"/>
            <w:proofErr w:type="gramEnd"/>
          </w:p>
        </w:tc>
      </w:tr>
    </w:tbl>
    <w:p w:rsidR="00B2078C" w:rsidP="00EA1163" w:rsidRDefault="00C21B2C" w14:paraId="42C28721" w14:textId="77777777">
      <w:pPr>
        <w:tabs>
          <w:tab w:val="left" w:pos="1578"/>
        </w:tabs>
        <w:spacing w:line="240" w:lineRule="auto"/>
      </w:pPr>
      <w:r>
        <w:br w:type="page"/>
      </w:r>
    </w:p>
    <w:p w:rsidRPr="005E4B85" w:rsidR="00043B02" w:rsidDel="003865DD" w:rsidP="00EA1163" w:rsidRDefault="00043B02" w14:paraId="7A47508A" w14:textId="77777777">
      <w:pPr>
        <w:spacing w:line="240" w:lineRule="auto"/>
        <w:jc w:val="center"/>
        <w:rPr>
          <w:b/>
          <w:bCs/>
          <w:sz w:val="24"/>
          <w:szCs w:val="24"/>
        </w:rPr>
      </w:pPr>
      <w:r w:rsidRPr="005E4B85">
        <w:rPr>
          <w:b/>
          <w:bCs/>
          <w:sz w:val="24"/>
          <w:szCs w:val="24"/>
        </w:rPr>
        <w:t>Early Recovery and Livelihoods</w:t>
      </w:r>
    </w:p>
    <w:p w:rsidRPr="00D368A9" w:rsidR="0038498E" w:rsidDel="003865DD" w:rsidP="00EA1163" w:rsidRDefault="0038498E" w14:paraId="066E0B45" w14:textId="23FD00EF">
      <w:pPr>
        <w:spacing w:line="240" w:lineRule="auto"/>
        <w:rPr>
          <w:b/>
        </w:rPr>
      </w:pPr>
      <w:r w:rsidRPr="00D368A9">
        <w:rPr>
          <w:b/>
        </w:rPr>
        <w:t xml:space="preserve">Name of Coordinator:  </w:t>
      </w:r>
      <w:r w:rsidRPr="00D368A9" w:rsidR="009067C4">
        <w:t>Francesco Baldo</w:t>
      </w:r>
      <w:r w:rsidR="00466FCB">
        <w:t>/UN</w:t>
      </w:r>
      <w:r w:rsidR="00057394">
        <w:t>DP</w:t>
      </w:r>
    </w:p>
    <w:p w:rsidR="00C21B2C" w:rsidP="00EA1163" w:rsidRDefault="006A07FD" w14:paraId="722B6666" w14:textId="15221FA0">
      <w:pPr>
        <w:spacing w:line="240" w:lineRule="auto"/>
        <w:rPr>
          <w:b/>
          <w:sz w:val="24"/>
          <w:szCs w:val="24"/>
        </w:rPr>
      </w:pPr>
      <w:r w:rsidRPr="006A07FD">
        <w:rPr>
          <w:b/>
          <w:noProof/>
          <w:sz w:val="24"/>
          <w:szCs w:val="24"/>
        </w:rPr>
        <mc:AlternateContent>
          <mc:Choice Requires="wps">
            <w:drawing>
              <wp:inline distT="0" distB="0" distL="0" distR="0" wp14:anchorId="4DD5F704" wp14:editId="78139F04">
                <wp:extent cx="6386811" cy="2004060"/>
                <wp:effectExtent l="0" t="0" r="14605" b="1524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11" cy="2004060"/>
                        </a:xfrm>
                        <a:prstGeom prst="rect">
                          <a:avLst/>
                        </a:prstGeom>
                        <a:solidFill>
                          <a:srgbClr val="FFFFFF"/>
                        </a:solidFill>
                        <a:ln w="9525">
                          <a:solidFill>
                            <a:srgbClr val="000000"/>
                          </a:solidFill>
                          <a:miter lim="800000"/>
                          <a:headEnd/>
                          <a:tailEnd/>
                        </a:ln>
                      </wps:spPr>
                      <wps:txbx>
                        <w:txbxContent>
                          <w:p w:rsidRPr="006A07FD" w:rsidR="00114CAA" w:rsidP="006A07FD" w:rsidRDefault="00114CAA" w14:paraId="4E437D84" w14:textId="49B8B3C9">
                            <w:pPr>
                              <w:jc w:val="center"/>
                              <w:rPr>
                                <w:b/>
                                <w:color w:val="2F5496" w:themeColor="accent1" w:themeShade="BF"/>
                                <w:sz w:val="24"/>
                                <w:szCs w:val="24"/>
                              </w:rPr>
                            </w:pPr>
                            <w:r>
                              <w:rPr>
                                <w:b/>
                                <w:color w:val="2F5496" w:themeColor="accent1" w:themeShade="BF"/>
                                <w:sz w:val="24"/>
                                <w:szCs w:val="24"/>
                                <w:highlight w:val="yellow"/>
                              </w:rPr>
                              <w:t>Possible</w:t>
                            </w:r>
                            <w:r w:rsidRPr="006A07FD">
                              <w:rPr>
                                <w:b/>
                                <w:color w:val="2F5496" w:themeColor="accent1" w:themeShade="BF"/>
                                <w:sz w:val="24"/>
                                <w:szCs w:val="24"/>
                                <w:highlight w:val="yellow"/>
                              </w:rPr>
                              <w:t xml:space="preserve"> points to raise</w:t>
                            </w:r>
                          </w:p>
                          <w:p w:rsidRPr="006A07FD" w:rsidR="00114CAA" w:rsidP="008A41C7" w:rsidRDefault="00114CAA" w14:paraId="0E330A33" w14:textId="286FAF95">
                            <w:pPr>
                              <w:pStyle w:val="ListParagraph"/>
                              <w:numPr>
                                <w:ilvl w:val="0"/>
                                <w:numId w:val="14"/>
                              </w:numPr>
                              <w:spacing w:after="60"/>
                              <w:rPr>
                                <w:b/>
                                <w:bCs/>
                                <w:color w:val="2F5496" w:themeColor="accent1" w:themeShade="BF"/>
                                <w:sz w:val="24"/>
                                <w:szCs w:val="24"/>
                              </w:rPr>
                            </w:pPr>
                            <w:r>
                              <w:rPr>
                                <w:b/>
                                <w:bCs/>
                                <w:color w:val="2F5496" w:themeColor="accent1" w:themeShade="BF"/>
                              </w:rPr>
                              <w:t xml:space="preserve">While </w:t>
                            </w:r>
                            <w:r w:rsidRPr="006A07FD">
                              <w:rPr>
                                <w:b/>
                                <w:bCs/>
                                <w:color w:val="2F5496" w:themeColor="accent1" w:themeShade="BF"/>
                              </w:rPr>
                              <w:t xml:space="preserve">we are keen to </w:t>
                            </w:r>
                            <w:r w:rsidR="00EA1163">
                              <w:rPr>
                                <w:b/>
                                <w:bCs/>
                                <w:color w:val="2F5496" w:themeColor="accent1" w:themeShade="BF"/>
                              </w:rPr>
                              <w:t>advocate for</w:t>
                            </w:r>
                            <w:r w:rsidRPr="006A07FD">
                              <w:rPr>
                                <w:b/>
                                <w:bCs/>
                                <w:color w:val="2F5496" w:themeColor="accent1" w:themeShade="BF"/>
                              </w:rPr>
                              <w:t xml:space="preserve"> increased livelihood and income generation programming</w:t>
                            </w:r>
                            <w:r>
                              <w:rPr>
                                <w:b/>
                                <w:bCs/>
                                <w:color w:val="2F5496" w:themeColor="accent1" w:themeShade="BF"/>
                              </w:rPr>
                              <w:t xml:space="preserve">, </w:t>
                            </w:r>
                            <w:r w:rsidRPr="006A07FD">
                              <w:rPr>
                                <w:b/>
                                <w:bCs/>
                                <w:color w:val="2F5496" w:themeColor="accent1" w:themeShade="BF"/>
                              </w:rPr>
                              <w:t>the sector was only funded at 14</w:t>
                            </w:r>
                            <w:r>
                              <w:rPr>
                                <w:b/>
                                <w:bCs/>
                                <w:color w:val="2F5496" w:themeColor="accent1" w:themeShade="BF"/>
                              </w:rPr>
                              <w:t xml:space="preserve">% (!) in </w:t>
                            </w:r>
                            <w:proofErr w:type="gramStart"/>
                            <w:r>
                              <w:rPr>
                                <w:b/>
                                <w:bCs/>
                                <w:color w:val="2F5496" w:themeColor="accent1" w:themeShade="BF"/>
                              </w:rPr>
                              <w:t>2020, yet</w:t>
                            </w:r>
                            <w:proofErr w:type="gramEnd"/>
                            <w:r>
                              <w:rPr>
                                <w:b/>
                                <w:bCs/>
                                <w:color w:val="2F5496" w:themeColor="accent1" w:themeShade="BF"/>
                              </w:rPr>
                              <w:t xml:space="preserve"> requests a 20% increase in funding for 2021. </w:t>
                            </w:r>
                          </w:p>
                          <w:p w:rsidRPr="006A07FD" w:rsidR="00114CAA" w:rsidP="008A41C7" w:rsidRDefault="00EA1163" w14:paraId="3F497D4E" w14:textId="00548388">
                            <w:pPr>
                              <w:pStyle w:val="ListParagraph"/>
                              <w:numPr>
                                <w:ilvl w:val="0"/>
                                <w:numId w:val="14"/>
                              </w:numPr>
                              <w:spacing w:after="60"/>
                              <w:rPr>
                                <w:b/>
                                <w:bCs/>
                                <w:color w:val="2F5496" w:themeColor="accent1" w:themeShade="BF"/>
                                <w:sz w:val="24"/>
                                <w:szCs w:val="24"/>
                              </w:rPr>
                            </w:pPr>
                            <w:r>
                              <w:rPr>
                                <w:b/>
                                <w:bCs/>
                                <w:color w:val="2F5496" w:themeColor="accent1" w:themeShade="BF"/>
                              </w:rPr>
                              <w:t>T</w:t>
                            </w:r>
                            <w:r w:rsidRPr="006A07FD" w:rsidR="007D6D4C">
                              <w:rPr>
                                <w:b/>
                                <w:bCs/>
                                <w:color w:val="2F5496" w:themeColor="accent1" w:themeShade="BF"/>
                              </w:rPr>
                              <w:t>wo</w:t>
                            </w:r>
                            <w:r w:rsidRPr="006A07FD" w:rsidR="00114CAA">
                              <w:rPr>
                                <w:b/>
                                <w:bCs/>
                                <w:color w:val="2F5496" w:themeColor="accent1" w:themeShade="BF"/>
                              </w:rPr>
                              <w:t xml:space="preserve"> questions in this regard: </w:t>
                            </w:r>
                          </w:p>
                          <w:p w:rsidRPr="006A07FD" w:rsidR="00114CAA" w:rsidP="008A41C7" w:rsidRDefault="00114CAA" w14:paraId="0158F2F4" w14:textId="77777777">
                            <w:pPr>
                              <w:pStyle w:val="ListParagraph"/>
                              <w:numPr>
                                <w:ilvl w:val="1"/>
                                <w:numId w:val="14"/>
                              </w:numPr>
                              <w:spacing w:after="60"/>
                              <w:rPr>
                                <w:b/>
                                <w:color w:val="2F5496" w:themeColor="accent1" w:themeShade="BF"/>
                                <w:sz w:val="24"/>
                                <w:szCs w:val="24"/>
                              </w:rPr>
                            </w:pPr>
                            <w:r w:rsidRPr="006A07FD">
                              <w:rPr>
                                <w:b/>
                                <w:bCs/>
                                <w:color w:val="2F5496" w:themeColor="accent1" w:themeShade="BF"/>
                              </w:rPr>
                              <w:t xml:space="preserve">Practically, do sector partners have the capacity to </w:t>
                            </w:r>
                            <w:r>
                              <w:rPr>
                                <w:b/>
                                <w:bCs/>
                                <w:color w:val="2F5496" w:themeColor="accent1" w:themeShade="BF"/>
                              </w:rPr>
                              <w:t>implement</w:t>
                            </w:r>
                            <w:r w:rsidRPr="006A07FD">
                              <w:rPr>
                                <w:b/>
                                <w:bCs/>
                                <w:color w:val="2F5496" w:themeColor="accent1" w:themeShade="BF"/>
                              </w:rPr>
                              <w:t xml:space="preserve"> $233m in </w:t>
                            </w:r>
                            <w:r>
                              <w:rPr>
                                <w:b/>
                                <w:bCs/>
                                <w:color w:val="2F5496" w:themeColor="accent1" w:themeShade="BF"/>
                              </w:rPr>
                              <w:t xml:space="preserve">requested </w:t>
                            </w:r>
                            <w:r w:rsidRPr="006A07FD">
                              <w:rPr>
                                <w:b/>
                                <w:bCs/>
                                <w:color w:val="2F5496" w:themeColor="accent1" w:themeShade="BF"/>
                              </w:rPr>
                              <w:t xml:space="preserve">funding? </w:t>
                            </w:r>
                          </w:p>
                          <w:p w:rsidRPr="006A07FD" w:rsidR="00114CAA" w:rsidP="008A41C7" w:rsidRDefault="00114CAA" w14:paraId="4C6D3768" w14:textId="77777777">
                            <w:pPr>
                              <w:pStyle w:val="ListParagraph"/>
                              <w:numPr>
                                <w:ilvl w:val="1"/>
                                <w:numId w:val="14"/>
                              </w:numPr>
                              <w:spacing w:after="60"/>
                              <w:rPr>
                                <w:b/>
                                <w:bCs/>
                                <w:color w:val="2F5496" w:themeColor="accent1" w:themeShade="BF"/>
                                <w:sz w:val="24"/>
                                <w:szCs w:val="24"/>
                              </w:rPr>
                            </w:pPr>
                            <w:r w:rsidRPr="006A07FD">
                              <w:rPr>
                                <w:b/>
                                <w:bCs/>
                                <w:color w:val="2F5496" w:themeColor="accent1" w:themeShade="BF"/>
                              </w:rPr>
                              <w:t>In terms of strengthened advocacy and resource mobilization with donors, what are we not doing well enough, and what should be done differently in your view?</w:t>
                            </w:r>
                          </w:p>
                          <w:p w:rsidRPr="006A07FD" w:rsidR="00114CAA" w:rsidP="008A41C7" w:rsidRDefault="00114CAA" w14:paraId="5B173E55" w14:textId="77777777">
                            <w:pPr>
                              <w:pStyle w:val="ListParagraph"/>
                              <w:numPr>
                                <w:ilvl w:val="0"/>
                                <w:numId w:val="14"/>
                              </w:numPr>
                              <w:spacing w:after="60"/>
                              <w:rPr>
                                <w:b/>
                                <w:bCs/>
                                <w:color w:val="2F5496" w:themeColor="accent1" w:themeShade="BF"/>
                                <w:sz w:val="24"/>
                                <w:szCs w:val="24"/>
                              </w:rPr>
                            </w:pPr>
                            <w:r w:rsidRPr="006A07FD">
                              <w:rPr>
                                <w:b/>
                                <w:bCs/>
                                <w:color w:val="2F5496" w:themeColor="accent1" w:themeShade="BF"/>
                              </w:rPr>
                              <w:t>Assuming the sector will again receive insufficient funding in 2021, what will you prioritize, and how do you coordinate programmatically with other sectors to increase impact?</w:t>
                            </w:r>
                          </w:p>
                          <w:p w:rsidR="00114CAA" w:rsidP="006A07FD" w:rsidRDefault="00114CAA" w14:paraId="502679B5" w14:textId="4CD60633"/>
                        </w:txbxContent>
                      </wps:txbx>
                      <wps:bodyPr rot="0" vert="horz" wrap="square" lIns="91440" tIns="45720" rIns="91440" bIns="45720" anchor="t" anchorCtr="0">
                        <a:noAutofit/>
                      </wps:bodyPr>
                    </wps:wsp>
                  </a:graphicData>
                </a:graphic>
              </wp:inline>
            </w:drawing>
          </mc:Choice>
          <mc:Fallback>
            <w:pict w14:anchorId="4744BF62">
              <v:shape id="_x0000_s1028" style="width:502.9pt;height:157.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hsJgIAAE0EAAAOAAAAZHJzL2Uyb0RvYy54bWysVNuO0zAQfUfiHyy/01xoSzdqulq6FCEt&#10;F2mXD3Acp7GwPcZ2myxfz9jplmqBF0QeLI9nfDxzzkzW16NW5Cicl2BqWsxySoTh0Eqzr+nXh92r&#10;FSU+MNMyBUbU9FF4er15+WI92EqU0INqhSMIYnw12Jr2IdgqyzzvhWZ+BlYYdHbgNAtoun3WOjYg&#10;ulZZmefLbADXWgdceI+nt5OTbhJ+1wkePnedF4GommJuIa0urU1cs82aVXvHbC/5KQ32D1loJg0+&#10;eoa6ZYGRg5O/QWnJHXjowoyDzqDrJBepBqymyJ9Vc98zK1ItSI63Z5r8/4Pln45fHJEtaldSYphG&#10;jR7EGMhbGEkZ6RmsrzDq3mJcGPEYQ1Op3t4B/+aJgW3PzF7cOAdDL1iL6RXxZnZxdcLxEaQZPkKL&#10;z7BDgAQ0dk5H7pANgugo0+NZmpgKx8Pl69VyVRSUcPSh8PN8mcTLWPV03Tof3gvQJG5q6lD7BM+O&#10;dz7EdFj1FBJf86Bku5NKJcPtm61y5MiwT3bpSxU8C1OGDDW9WpSLiYG/QuTp+xOElgEbXkld09U5&#10;iFWRt3emTe0YmFTTHlNW5kRk5G5iMYzNmCQ769NA+4jMOpj6G+cRNz24H5QM2Ns19d8PzAlK1AeD&#10;6lwV83kchmTMF29KNNylp7n0MMMRqqaBkmm7DWmAIm8GblDFTiZ+o9xTJqeUsWcT7af5ikNxaaeo&#10;X3+BzU8AAAD//wMAUEsDBBQABgAIAAAAIQDP7cGl3QAAAAYBAAAPAAAAZHJzL2Rvd25yZXYueG1s&#10;TI/BTsMwEETvSPyDtUhcELVLaSghToWQQOVW2gqubrxNIux1sN00/XtcLvQy0mpWM2+K+WAN69GH&#10;1pGE8UgAQ6qcbqmWsFm/3s6AhahIK+MIJRwxwLy8vChUrt2BPrBfxZqlEAq5ktDE2OWch6pBq8LI&#10;dUjJ2zlvVUynr7n26pDCreF3QmTcqpZSQ6M6fGmw+l7trYTZ/aL/Cu+T5WeV7cxjvHno3368lNdX&#10;w/MTsIhD/H+GE35ChzIxbd2edGBGQhoS//TkCTFNO7YSJuNpBrws+Dl++QsAAP//AwBQSwECLQAU&#10;AAYACAAAACEAtoM4kv4AAADhAQAAEwAAAAAAAAAAAAAAAAAAAAAAW0NvbnRlbnRfVHlwZXNdLnht&#10;bFBLAQItABQABgAIAAAAIQA4/SH/1gAAAJQBAAALAAAAAAAAAAAAAAAAAC8BAABfcmVscy8ucmVs&#10;c1BLAQItABQABgAIAAAAIQAqBEhsJgIAAE0EAAAOAAAAAAAAAAAAAAAAAC4CAABkcnMvZTJvRG9j&#10;LnhtbFBLAQItABQABgAIAAAAIQDP7cGl3QAAAAYBAAAPAAAAAAAAAAAAAAAAAIAEAABkcnMvZG93&#10;bnJldi54bWxQSwUGAAAAAAQABADzAAAAigUAAAAA&#10;" w14:anchorId="4DD5F704">
                <v:textbox>
                  <w:txbxContent>
                    <w:p w:rsidRPr="006A07FD" w:rsidR="00114CAA" w:rsidP="006A07FD" w:rsidRDefault="00114CAA" w14:paraId="1A449F1D" w14:textId="49B8B3C9">
                      <w:pPr>
                        <w:jc w:val="center"/>
                        <w:rPr>
                          <w:b/>
                          <w:color w:val="2F5496" w:themeColor="accent1" w:themeShade="BF"/>
                          <w:sz w:val="24"/>
                          <w:szCs w:val="24"/>
                        </w:rPr>
                      </w:pPr>
                      <w:r>
                        <w:rPr>
                          <w:b/>
                          <w:color w:val="2F5496" w:themeColor="accent1" w:themeShade="BF"/>
                          <w:sz w:val="24"/>
                          <w:szCs w:val="24"/>
                          <w:highlight w:val="yellow"/>
                        </w:rPr>
                        <w:t>Possible</w:t>
                      </w:r>
                      <w:r w:rsidRPr="006A07FD">
                        <w:rPr>
                          <w:b/>
                          <w:color w:val="2F5496" w:themeColor="accent1" w:themeShade="BF"/>
                          <w:sz w:val="24"/>
                          <w:szCs w:val="24"/>
                          <w:highlight w:val="yellow"/>
                        </w:rPr>
                        <w:t xml:space="preserve"> points to raise</w:t>
                      </w:r>
                    </w:p>
                    <w:p w:rsidRPr="006A07FD" w:rsidR="00114CAA" w:rsidP="008A41C7" w:rsidRDefault="00114CAA" w14:paraId="16D9C565" w14:textId="286FAF95">
                      <w:pPr>
                        <w:pStyle w:val="ListParagraph"/>
                        <w:numPr>
                          <w:ilvl w:val="0"/>
                          <w:numId w:val="14"/>
                        </w:numPr>
                        <w:spacing w:after="60"/>
                        <w:rPr>
                          <w:b/>
                          <w:bCs/>
                          <w:color w:val="2F5496" w:themeColor="accent1" w:themeShade="BF"/>
                          <w:sz w:val="24"/>
                          <w:szCs w:val="24"/>
                        </w:rPr>
                      </w:pPr>
                      <w:r>
                        <w:rPr>
                          <w:b/>
                          <w:bCs/>
                          <w:color w:val="2F5496" w:themeColor="accent1" w:themeShade="BF"/>
                        </w:rPr>
                        <w:t xml:space="preserve">While </w:t>
                      </w:r>
                      <w:r w:rsidRPr="006A07FD">
                        <w:rPr>
                          <w:b/>
                          <w:bCs/>
                          <w:color w:val="2F5496" w:themeColor="accent1" w:themeShade="BF"/>
                        </w:rPr>
                        <w:t xml:space="preserve">we are keen to </w:t>
                      </w:r>
                      <w:r w:rsidR="00EA1163">
                        <w:rPr>
                          <w:b/>
                          <w:bCs/>
                          <w:color w:val="2F5496" w:themeColor="accent1" w:themeShade="BF"/>
                        </w:rPr>
                        <w:t>advocate for</w:t>
                      </w:r>
                      <w:r w:rsidRPr="006A07FD">
                        <w:rPr>
                          <w:b/>
                          <w:bCs/>
                          <w:color w:val="2F5496" w:themeColor="accent1" w:themeShade="BF"/>
                        </w:rPr>
                        <w:t xml:space="preserve"> increased livelihood and income generation programming</w:t>
                      </w:r>
                      <w:r>
                        <w:rPr>
                          <w:b/>
                          <w:bCs/>
                          <w:color w:val="2F5496" w:themeColor="accent1" w:themeShade="BF"/>
                        </w:rPr>
                        <w:t xml:space="preserve">, </w:t>
                      </w:r>
                      <w:r w:rsidRPr="006A07FD">
                        <w:rPr>
                          <w:b/>
                          <w:bCs/>
                          <w:color w:val="2F5496" w:themeColor="accent1" w:themeShade="BF"/>
                        </w:rPr>
                        <w:t>the sector was only funded at 14</w:t>
                      </w:r>
                      <w:r>
                        <w:rPr>
                          <w:b/>
                          <w:bCs/>
                          <w:color w:val="2F5496" w:themeColor="accent1" w:themeShade="BF"/>
                        </w:rPr>
                        <w:t xml:space="preserve">% (!) in </w:t>
                      </w:r>
                      <w:proofErr w:type="gramStart"/>
                      <w:r>
                        <w:rPr>
                          <w:b/>
                          <w:bCs/>
                          <w:color w:val="2F5496" w:themeColor="accent1" w:themeShade="BF"/>
                        </w:rPr>
                        <w:t>2020, yet</w:t>
                      </w:r>
                      <w:proofErr w:type="gramEnd"/>
                      <w:r>
                        <w:rPr>
                          <w:b/>
                          <w:bCs/>
                          <w:color w:val="2F5496" w:themeColor="accent1" w:themeShade="BF"/>
                        </w:rPr>
                        <w:t xml:space="preserve"> requests a 20% increase in funding for 2021. </w:t>
                      </w:r>
                    </w:p>
                    <w:p w:rsidRPr="006A07FD" w:rsidR="00114CAA" w:rsidP="008A41C7" w:rsidRDefault="00EA1163" w14:paraId="70355D32" w14:textId="00548388">
                      <w:pPr>
                        <w:pStyle w:val="ListParagraph"/>
                        <w:numPr>
                          <w:ilvl w:val="0"/>
                          <w:numId w:val="14"/>
                        </w:numPr>
                        <w:spacing w:after="60"/>
                        <w:rPr>
                          <w:b/>
                          <w:bCs/>
                          <w:color w:val="2F5496" w:themeColor="accent1" w:themeShade="BF"/>
                          <w:sz w:val="24"/>
                          <w:szCs w:val="24"/>
                        </w:rPr>
                      </w:pPr>
                      <w:r>
                        <w:rPr>
                          <w:b/>
                          <w:bCs/>
                          <w:color w:val="2F5496" w:themeColor="accent1" w:themeShade="BF"/>
                        </w:rPr>
                        <w:t>T</w:t>
                      </w:r>
                      <w:r w:rsidRPr="006A07FD" w:rsidR="007D6D4C">
                        <w:rPr>
                          <w:b/>
                          <w:bCs/>
                          <w:color w:val="2F5496" w:themeColor="accent1" w:themeShade="BF"/>
                        </w:rPr>
                        <w:t>wo</w:t>
                      </w:r>
                      <w:r w:rsidRPr="006A07FD" w:rsidR="00114CAA">
                        <w:rPr>
                          <w:b/>
                          <w:bCs/>
                          <w:color w:val="2F5496" w:themeColor="accent1" w:themeShade="BF"/>
                        </w:rPr>
                        <w:t xml:space="preserve"> questions in this regard: </w:t>
                      </w:r>
                    </w:p>
                    <w:p w:rsidRPr="006A07FD" w:rsidR="00114CAA" w:rsidP="008A41C7" w:rsidRDefault="00114CAA" w14:paraId="7826BBEA" w14:textId="77777777">
                      <w:pPr>
                        <w:pStyle w:val="ListParagraph"/>
                        <w:numPr>
                          <w:ilvl w:val="1"/>
                          <w:numId w:val="14"/>
                        </w:numPr>
                        <w:spacing w:after="60"/>
                        <w:rPr>
                          <w:b/>
                          <w:color w:val="2F5496" w:themeColor="accent1" w:themeShade="BF"/>
                          <w:sz w:val="24"/>
                          <w:szCs w:val="24"/>
                        </w:rPr>
                      </w:pPr>
                      <w:r w:rsidRPr="006A07FD">
                        <w:rPr>
                          <w:b/>
                          <w:bCs/>
                          <w:color w:val="2F5496" w:themeColor="accent1" w:themeShade="BF"/>
                        </w:rPr>
                        <w:t xml:space="preserve">Practically, do sector partners have the capacity to </w:t>
                      </w:r>
                      <w:r>
                        <w:rPr>
                          <w:b/>
                          <w:bCs/>
                          <w:color w:val="2F5496" w:themeColor="accent1" w:themeShade="BF"/>
                        </w:rPr>
                        <w:t>implement</w:t>
                      </w:r>
                      <w:r w:rsidRPr="006A07FD">
                        <w:rPr>
                          <w:b/>
                          <w:bCs/>
                          <w:color w:val="2F5496" w:themeColor="accent1" w:themeShade="BF"/>
                        </w:rPr>
                        <w:t xml:space="preserve"> $233m in </w:t>
                      </w:r>
                      <w:r>
                        <w:rPr>
                          <w:b/>
                          <w:bCs/>
                          <w:color w:val="2F5496" w:themeColor="accent1" w:themeShade="BF"/>
                        </w:rPr>
                        <w:t xml:space="preserve">requested </w:t>
                      </w:r>
                      <w:r w:rsidRPr="006A07FD">
                        <w:rPr>
                          <w:b/>
                          <w:bCs/>
                          <w:color w:val="2F5496" w:themeColor="accent1" w:themeShade="BF"/>
                        </w:rPr>
                        <w:t xml:space="preserve">funding? </w:t>
                      </w:r>
                    </w:p>
                    <w:p w:rsidRPr="006A07FD" w:rsidR="00114CAA" w:rsidP="008A41C7" w:rsidRDefault="00114CAA" w14:paraId="38368C24" w14:textId="77777777">
                      <w:pPr>
                        <w:pStyle w:val="ListParagraph"/>
                        <w:numPr>
                          <w:ilvl w:val="1"/>
                          <w:numId w:val="14"/>
                        </w:numPr>
                        <w:spacing w:after="60"/>
                        <w:rPr>
                          <w:b/>
                          <w:bCs/>
                          <w:color w:val="2F5496" w:themeColor="accent1" w:themeShade="BF"/>
                          <w:sz w:val="24"/>
                          <w:szCs w:val="24"/>
                        </w:rPr>
                      </w:pPr>
                      <w:r w:rsidRPr="006A07FD">
                        <w:rPr>
                          <w:b/>
                          <w:bCs/>
                          <w:color w:val="2F5496" w:themeColor="accent1" w:themeShade="BF"/>
                        </w:rPr>
                        <w:t>In terms of strengthened advocacy and resource mobilization with donors, what are we not doing well enough, and what should be done differently in your view?</w:t>
                      </w:r>
                    </w:p>
                    <w:p w:rsidRPr="006A07FD" w:rsidR="00114CAA" w:rsidP="008A41C7" w:rsidRDefault="00114CAA" w14:paraId="28B709DA" w14:textId="77777777">
                      <w:pPr>
                        <w:pStyle w:val="ListParagraph"/>
                        <w:numPr>
                          <w:ilvl w:val="0"/>
                          <w:numId w:val="14"/>
                        </w:numPr>
                        <w:spacing w:after="60"/>
                        <w:rPr>
                          <w:b/>
                          <w:bCs/>
                          <w:color w:val="2F5496" w:themeColor="accent1" w:themeShade="BF"/>
                          <w:sz w:val="24"/>
                          <w:szCs w:val="24"/>
                        </w:rPr>
                      </w:pPr>
                      <w:r w:rsidRPr="006A07FD">
                        <w:rPr>
                          <w:b/>
                          <w:bCs/>
                          <w:color w:val="2F5496" w:themeColor="accent1" w:themeShade="BF"/>
                        </w:rPr>
                        <w:t>Assuming the sector will again receive insufficient funding in 2021, what will you prioritize, and how do you coordinate programmatically with other sectors to increase impact?</w:t>
                      </w:r>
                    </w:p>
                    <w:p w:rsidR="00114CAA" w:rsidP="006A07FD" w:rsidRDefault="00114CAA" w14:paraId="5DAB6C7B" w14:textId="4CD60633"/>
                  </w:txbxContent>
                </v:textbox>
                <w10:anchorlock/>
              </v:shape>
            </w:pict>
          </mc:Fallback>
        </mc:AlternateContent>
      </w:r>
    </w:p>
    <w:p w:rsidRPr="00043B02" w:rsidR="00043B02" w:rsidP="00043B02" w:rsidRDefault="00043B02" w14:paraId="2F67EFDC" w14:textId="5CF12F5F">
      <w:pPr>
        <w:pStyle w:val="ListParagraph"/>
        <w:numPr>
          <w:ilvl w:val="0"/>
          <w:numId w:val="26"/>
        </w:numPr>
        <w:contextualSpacing/>
        <w:rPr>
          <w:b/>
          <w:bCs/>
          <w:sz w:val="20"/>
          <w:szCs w:val="20"/>
        </w:rPr>
      </w:pPr>
      <w:r w:rsidRPr="00043B02">
        <w:rPr>
          <w:b/>
          <w:bCs/>
          <w:sz w:val="20"/>
          <w:szCs w:val="20"/>
        </w:rPr>
        <w:t>2021 Key figures</w:t>
      </w:r>
    </w:p>
    <w:p w:rsidRPr="00EC3B9F" w:rsidR="00043B02" w:rsidP="00043B02" w:rsidRDefault="00043B02" w14:paraId="41699301" w14:textId="4A739B75">
      <w:pPr>
        <w:pStyle w:val="ListParagraph"/>
        <w:ind w:left="360"/>
        <w:rPr>
          <w:color w:val="FF0000"/>
        </w:rPr>
      </w:pPr>
      <w:r>
        <w:rPr>
          <w:color w:val="FF0000"/>
        </w:rPr>
        <w:t xml:space="preserve">  </w:t>
      </w:r>
    </w:p>
    <w:tbl>
      <w:tblPr>
        <w:tblStyle w:val="PlainTable4"/>
        <w:tblW w:w="9535" w:type="dxa"/>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0"/>
        <w:gridCol w:w="1240"/>
        <w:gridCol w:w="1240"/>
        <w:gridCol w:w="1240"/>
        <w:gridCol w:w="1240"/>
        <w:gridCol w:w="1240"/>
        <w:gridCol w:w="1015"/>
        <w:gridCol w:w="1080"/>
      </w:tblGrid>
      <w:tr w:rsidR="00043B02" w:rsidTr="00335139" w14:paraId="5CBD3481"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480" w:type="dxa"/>
            <w:gridSpan w:val="2"/>
          </w:tcPr>
          <w:p w:rsidRPr="005E4B85" w:rsidR="00043B02" w:rsidP="00191CB2" w:rsidRDefault="00043B02" w14:paraId="0A3968AB" w14:textId="77777777">
            <w:pPr>
              <w:pStyle w:val="ListParagraph"/>
              <w:ind w:left="0"/>
              <w:jc w:val="center"/>
              <w:rPr>
                <w:b w:val="0"/>
                <w:bCs w:val="0"/>
                <w:i/>
                <w:iCs/>
              </w:rPr>
            </w:pPr>
            <w:r w:rsidRPr="00A11FCA">
              <w:rPr>
                <w:i/>
                <w:iCs/>
              </w:rPr>
              <w:t>People in Need</w:t>
            </w:r>
          </w:p>
        </w:tc>
        <w:tc>
          <w:tcPr>
            <w:tcW w:w="2480" w:type="dxa"/>
            <w:gridSpan w:val="2"/>
          </w:tcPr>
          <w:p w:rsidRPr="005E4B85" w:rsidR="00043B02" w:rsidP="00191CB2" w:rsidRDefault="00043B02" w14:paraId="57711514"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i/>
                <w:iCs/>
              </w:rPr>
            </w:pPr>
            <w:r w:rsidRPr="00A11FCA">
              <w:rPr>
                <w:i/>
                <w:iCs/>
              </w:rPr>
              <w:t>Target</w:t>
            </w:r>
          </w:p>
        </w:tc>
        <w:tc>
          <w:tcPr>
            <w:tcW w:w="2480" w:type="dxa"/>
            <w:gridSpan w:val="2"/>
          </w:tcPr>
          <w:p w:rsidRPr="005E4B85" w:rsidR="00043B02" w:rsidP="00191CB2" w:rsidRDefault="00043B02" w14:paraId="28427982"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i/>
                <w:iCs/>
              </w:rPr>
            </w:pPr>
            <w:r w:rsidRPr="00A11FCA">
              <w:rPr>
                <w:i/>
                <w:iCs/>
              </w:rPr>
              <w:t>Funding requirements</w:t>
            </w:r>
          </w:p>
        </w:tc>
        <w:tc>
          <w:tcPr>
            <w:tcW w:w="1015" w:type="dxa"/>
          </w:tcPr>
          <w:p w:rsidRPr="00A11FCA" w:rsidR="00043B02" w:rsidP="00191CB2" w:rsidRDefault="00043B02" w14:paraId="193C3085" w14:textId="77777777">
            <w:pPr>
              <w:pStyle w:val="ListParagraph"/>
              <w:ind w:left="0"/>
              <w:cnfStyle w:val="100000000000" w:firstRow="1" w:lastRow="0" w:firstColumn="0" w:lastColumn="0" w:oddVBand="0" w:evenVBand="0" w:oddHBand="0" w:evenHBand="0" w:firstRowFirstColumn="0" w:firstRowLastColumn="0" w:lastRowFirstColumn="0" w:lastRowLastColumn="0"/>
            </w:pPr>
            <w:r w:rsidRPr="00A11FCA">
              <w:t xml:space="preserve">Partners </w:t>
            </w:r>
          </w:p>
        </w:tc>
        <w:tc>
          <w:tcPr>
            <w:tcW w:w="1080" w:type="dxa"/>
          </w:tcPr>
          <w:p w:rsidRPr="00A11FCA" w:rsidR="00043B02" w:rsidP="00191CB2" w:rsidRDefault="00043B02" w14:paraId="351E0BF3" w14:textId="77777777">
            <w:pPr>
              <w:pStyle w:val="ListParagraph"/>
              <w:ind w:left="0"/>
              <w:cnfStyle w:val="100000000000" w:firstRow="1" w:lastRow="0" w:firstColumn="0" w:lastColumn="0" w:oddVBand="0" w:evenVBand="0" w:oddHBand="0" w:evenHBand="0" w:firstRowFirstColumn="0" w:firstRowLastColumn="0" w:lastRowFirstColumn="0" w:lastRowLastColumn="0"/>
            </w:pPr>
            <w:r w:rsidRPr="00A11FCA">
              <w:t xml:space="preserve">Projects </w:t>
            </w:r>
          </w:p>
        </w:tc>
      </w:tr>
      <w:tr w:rsidR="00043B02" w:rsidTr="00335139" w14:paraId="00B52FF9" w14:textId="7777777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240" w:type="dxa"/>
          </w:tcPr>
          <w:p w:rsidRPr="005E4B85" w:rsidR="00043B02" w:rsidP="00191CB2" w:rsidRDefault="00043B02" w14:paraId="619420C9" w14:textId="77777777">
            <w:pPr>
              <w:pStyle w:val="ListParagraph"/>
              <w:ind w:left="0"/>
              <w:rPr>
                <w:b w:val="0"/>
                <w:bCs w:val="0"/>
                <w:i/>
                <w:iCs/>
                <w:sz w:val="14"/>
                <w:szCs w:val="14"/>
              </w:rPr>
            </w:pPr>
            <w:r w:rsidRPr="005E4B85">
              <w:rPr>
                <w:i/>
                <w:iCs/>
                <w:sz w:val="14"/>
                <w:szCs w:val="14"/>
              </w:rPr>
              <w:t>In million</w:t>
            </w:r>
          </w:p>
        </w:tc>
        <w:tc>
          <w:tcPr>
            <w:tcW w:w="1240" w:type="dxa"/>
          </w:tcPr>
          <w:p w:rsidRPr="005E4B85" w:rsidR="00043B02" w:rsidP="00191CB2" w:rsidRDefault="00043B02" w14:paraId="0ABABCC1" w14:textId="77777777">
            <w:pPr>
              <w:pStyle w:val="ListParagraph"/>
              <w:ind w:left="0"/>
              <w:cnfStyle w:val="000000100000" w:firstRow="0" w:lastRow="0" w:firstColumn="0" w:lastColumn="0" w:oddVBand="0" w:evenVBand="0" w:oddHBand="1" w:evenHBand="0" w:firstRowFirstColumn="0" w:firstRowLastColumn="0" w:lastRowFirstColumn="0" w:lastRowLastColumn="0"/>
              <w:rPr>
                <w:i/>
                <w:iCs/>
                <w:sz w:val="14"/>
                <w:szCs w:val="14"/>
              </w:rPr>
            </w:pPr>
            <w:r w:rsidRPr="005E4B85">
              <w:rPr>
                <w:i/>
                <w:iCs/>
                <w:sz w:val="14"/>
                <w:szCs w:val="14"/>
              </w:rPr>
              <w:t>% variation in 2020</w:t>
            </w:r>
          </w:p>
        </w:tc>
        <w:tc>
          <w:tcPr>
            <w:tcW w:w="1240" w:type="dxa"/>
          </w:tcPr>
          <w:p w:rsidRPr="005E4B85" w:rsidR="00043B02" w:rsidP="00191CB2" w:rsidRDefault="00043B02" w14:paraId="38E7E3A6" w14:textId="77777777">
            <w:pPr>
              <w:pStyle w:val="ListParagraph"/>
              <w:ind w:left="0"/>
              <w:cnfStyle w:val="000000100000" w:firstRow="0" w:lastRow="0" w:firstColumn="0" w:lastColumn="0" w:oddVBand="0" w:evenVBand="0" w:oddHBand="1" w:evenHBand="0" w:firstRowFirstColumn="0" w:firstRowLastColumn="0" w:lastRowFirstColumn="0" w:lastRowLastColumn="0"/>
              <w:rPr>
                <w:b/>
                <w:bCs/>
                <w:i/>
                <w:iCs/>
                <w:sz w:val="14"/>
                <w:szCs w:val="14"/>
              </w:rPr>
            </w:pPr>
            <w:r w:rsidRPr="005E4B85">
              <w:rPr>
                <w:i/>
                <w:iCs/>
                <w:sz w:val="14"/>
                <w:szCs w:val="14"/>
              </w:rPr>
              <w:t>In million</w:t>
            </w:r>
          </w:p>
        </w:tc>
        <w:tc>
          <w:tcPr>
            <w:tcW w:w="1240" w:type="dxa"/>
          </w:tcPr>
          <w:p w:rsidRPr="005E4B85" w:rsidR="00043B02" w:rsidP="00191CB2" w:rsidRDefault="00043B02" w14:paraId="33151F3D" w14:textId="77777777">
            <w:pPr>
              <w:pStyle w:val="ListParagraph"/>
              <w:ind w:left="0"/>
              <w:cnfStyle w:val="000000100000" w:firstRow="0" w:lastRow="0" w:firstColumn="0" w:lastColumn="0" w:oddVBand="0" w:evenVBand="0" w:oddHBand="1" w:evenHBand="0" w:firstRowFirstColumn="0" w:firstRowLastColumn="0" w:lastRowFirstColumn="0" w:lastRowLastColumn="0"/>
              <w:rPr>
                <w:b/>
                <w:bCs/>
                <w:i/>
                <w:iCs/>
                <w:sz w:val="14"/>
                <w:szCs w:val="14"/>
              </w:rPr>
            </w:pPr>
            <w:r w:rsidRPr="005E4B85">
              <w:rPr>
                <w:i/>
                <w:iCs/>
                <w:sz w:val="14"/>
                <w:szCs w:val="14"/>
              </w:rPr>
              <w:t>% variation in 2020</w:t>
            </w:r>
          </w:p>
        </w:tc>
        <w:tc>
          <w:tcPr>
            <w:tcW w:w="1240" w:type="dxa"/>
          </w:tcPr>
          <w:p w:rsidRPr="005E4B85" w:rsidR="00043B02" w:rsidP="00191CB2" w:rsidRDefault="00043B02" w14:paraId="4C5C2906"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E4B85">
              <w:rPr>
                <w:i/>
                <w:iCs/>
                <w:sz w:val="14"/>
                <w:szCs w:val="14"/>
              </w:rPr>
              <w:t>US$</w:t>
            </w:r>
          </w:p>
        </w:tc>
        <w:tc>
          <w:tcPr>
            <w:tcW w:w="1240" w:type="dxa"/>
          </w:tcPr>
          <w:p w:rsidRPr="005E4B85" w:rsidR="00043B02" w:rsidP="00191CB2" w:rsidRDefault="00043B02" w14:paraId="069E980F"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E4B85">
              <w:rPr>
                <w:i/>
                <w:iCs/>
                <w:sz w:val="14"/>
                <w:szCs w:val="14"/>
              </w:rPr>
              <w:t>% variation in 2020</w:t>
            </w:r>
          </w:p>
        </w:tc>
        <w:tc>
          <w:tcPr>
            <w:tcW w:w="1015" w:type="dxa"/>
            <w:vMerge w:val="restart"/>
          </w:tcPr>
          <w:p w:rsidR="00043B02" w:rsidP="00191CB2" w:rsidRDefault="00043B02" w14:paraId="0D3C38DD"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043B02" w:rsidP="00191CB2" w:rsidRDefault="00043B02" w14:paraId="5A5E3FB7" w14:textId="45652E9E">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 xml:space="preserve">61 </w:t>
            </w:r>
            <w:r w:rsidRPr="00AE271E">
              <w:t>(</w:t>
            </w:r>
            <w:r w:rsidR="00D01909">
              <w:t>-</w:t>
            </w:r>
            <w:r w:rsidRPr="00AE271E">
              <w:t>2)</w:t>
            </w:r>
          </w:p>
        </w:tc>
        <w:tc>
          <w:tcPr>
            <w:tcW w:w="1080" w:type="dxa"/>
            <w:vMerge w:val="restart"/>
          </w:tcPr>
          <w:p w:rsidR="00043B02" w:rsidP="00191CB2" w:rsidRDefault="00043B02" w14:paraId="6CBF299E"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043B02" w:rsidP="00191CB2" w:rsidRDefault="00043B02" w14:paraId="7CAC7FF1" w14:textId="7874A361">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 xml:space="preserve">76 </w:t>
            </w:r>
            <w:r w:rsidRPr="00AE271E">
              <w:t>(</w:t>
            </w:r>
            <w:r w:rsidR="00230657">
              <w:t>+</w:t>
            </w:r>
            <w:r w:rsidRPr="00AE271E">
              <w:t>2)</w:t>
            </w:r>
          </w:p>
        </w:tc>
      </w:tr>
      <w:tr w:rsidR="00043B02" w:rsidTr="00335139" w14:paraId="452E40AF" w14:textId="77777777">
        <w:trPr>
          <w:trHeight w:val="288"/>
        </w:trPr>
        <w:tc>
          <w:tcPr>
            <w:cnfStyle w:val="001000000000" w:firstRow="0" w:lastRow="0" w:firstColumn="1" w:lastColumn="0" w:oddVBand="0" w:evenVBand="0" w:oddHBand="0" w:evenHBand="0" w:firstRowFirstColumn="0" w:firstRowLastColumn="0" w:lastRowFirstColumn="0" w:lastRowLastColumn="0"/>
            <w:tcW w:w="1240" w:type="dxa"/>
          </w:tcPr>
          <w:p w:rsidRPr="00AE271E" w:rsidR="00043B02" w:rsidP="00191CB2" w:rsidRDefault="00043B02" w14:paraId="41FE1AD4" w14:textId="77777777">
            <w:pPr>
              <w:pStyle w:val="ListParagraph"/>
              <w:ind w:left="0"/>
            </w:pPr>
            <w:r w:rsidRPr="00AE271E">
              <w:t>11.6M</w:t>
            </w:r>
          </w:p>
        </w:tc>
        <w:tc>
          <w:tcPr>
            <w:tcW w:w="1240" w:type="dxa"/>
          </w:tcPr>
          <w:p w:rsidRPr="00AE271E" w:rsidR="00043B02" w:rsidP="00191CB2" w:rsidRDefault="00043B02" w14:paraId="4C5819C6" w14:textId="572CF50F">
            <w:pPr>
              <w:pStyle w:val="ListParagraph"/>
              <w:ind w:left="0"/>
              <w:cnfStyle w:val="000000000000" w:firstRow="0" w:lastRow="0" w:firstColumn="0" w:lastColumn="0" w:oddVBand="0" w:evenVBand="0" w:oddHBand="0" w:evenHBand="0" w:firstRowFirstColumn="0" w:firstRowLastColumn="0" w:lastRowFirstColumn="0" w:lastRowLastColumn="0"/>
            </w:pPr>
            <w:r w:rsidRPr="00AE271E">
              <w:t>17</w:t>
            </w:r>
            <w:r w:rsidRPr="00AE271E" w:rsidDel="0016298A">
              <w:t>%</w:t>
            </w:r>
          </w:p>
        </w:tc>
        <w:tc>
          <w:tcPr>
            <w:tcW w:w="1240" w:type="dxa"/>
          </w:tcPr>
          <w:p w:rsidRPr="00AE271E" w:rsidR="00043B02" w:rsidP="00191CB2" w:rsidRDefault="00043B02" w14:paraId="6AE18F4D"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r w:rsidRPr="00AE271E">
              <w:rPr>
                <w:b/>
                <w:bCs/>
              </w:rPr>
              <w:t>2.2M</w:t>
            </w:r>
          </w:p>
        </w:tc>
        <w:tc>
          <w:tcPr>
            <w:tcW w:w="1240" w:type="dxa"/>
          </w:tcPr>
          <w:p w:rsidRPr="00AE271E" w:rsidR="00043B02" w:rsidP="00191CB2" w:rsidRDefault="00043B02" w14:paraId="6A437D06" w14:textId="77777777">
            <w:pPr>
              <w:pStyle w:val="ListParagraph"/>
              <w:ind w:left="0"/>
              <w:cnfStyle w:val="000000000000" w:firstRow="0" w:lastRow="0" w:firstColumn="0" w:lastColumn="0" w:oddVBand="0" w:evenVBand="0" w:oddHBand="0" w:evenHBand="0" w:firstRowFirstColumn="0" w:firstRowLastColumn="0" w:lastRowFirstColumn="0" w:lastRowLastColumn="0"/>
            </w:pPr>
            <w:r w:rsidRPr="00AE271E">
              <w:t>16%</w:t>
            </w:r>
          </w:p>
        </w:tc>
        <w:tc>
          <w:tcPr>
            <w:tcW w:w="1240" w:type="dxa"/>
          </w:tcPr>
          <w:p w:rsidRPr="00AE271E" w:rsidR="00043B02" w:rsidP="00191CB2" w:rsidRDefault="00043B02" w14:paraId="3A20395B"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r w:rsidRPr="00AE271E">
              <w:rPr>
                <w:b/>
                <w:bCs/>
              </w:rPr>
              <w:t>233.3M</w:t>
            </w:r>
          </w:p>
        </w:tc>
        <w:tc>
          <w:tcPr>
            <w:tcW w:w="1240" w:type="dxa"/>
          </w:tcPr>
          <w:p w:rsidRPr="00AE271E" w:rsidR="00043B02" w:rsidP="00191CB2" w:rsidRDefault="00043B02" w14:paraId="01451A4D"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AE271E">
              <w:t>20%</w:t>
            </w:r>
          </w:p>
        </w:tc>
        <w:tc>
          <w:tcPr>
            <w:tcW w:w="1015" w:type="dxa"/>
            <w:vMerge/>
          </w:tcPr>
          <w:p w:rsidR="00043B02" w:rsidP="00191CB2" w:rsidRDefault="00043B02" w14:paraId="530E9EF7"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c>
          <w:tcPr>
            <w:tcW w:w="1080" w:type="dxa"/>
            <w:vMerge/>
          </w:tcPr>
          <w:p w:rsidR="00043B02" w:rsidP="00191CB2" w:rsidRDefault="00043B02" w14:paraId="72F53CE6"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bookmarkStart w:name="_GoBack" w:id="2"/>
        <w:bookmarkEnd w:id="2"/>
      </w:tr>
    </w:tbl>
    <w:p w:rsidRPr="005E4B85" w:rsidR="00043B02" w:rsidP="00EA1163" w:rsidRDefault="00043B02" w14:paraId="7DAAC46A" w14:textId="77777777">
      <w:pPr>
        <w:spacing w:line="240" w:lineRule="auto"/>
        <w:rPr>
          <w:b/>
          <w:bCs/>
        </w:rPr>
      </w:pPr>
    </w:p>
    <w:p w:rsidRPr="00815470" w:rsidR="00043B02" w:rsidP="006859A5" w:rsidRDefault="00043B02" w14:paraId="3872D06F" w14:textId="37D92AD8">
      <w:pPr>
        <w:pStyle w:val="ListParagraph"/>
        <w:numPr>
          <w:ilvl w:val="0"/>
          <w:numId w:val="26"/>
        </w:numPr>
        <w:contextualSpacing/>
        <w:rPr>
          <w:b/>
          <w:bCs/>
          <w:sz w:val="20"/>
          <w:szCs w:val="20"/>
        </w:rPr>
      </w:pPr>
      <w:r w:rsidRPr="00815470">
        <w:rPr>
          <w:b/>
          <w:bCs/>
          <w:sz w:val="20"/>
          <w:szCs w:val="20"/>
        </w:rPr>
        <w:t xml:space="preserve">Most significant response gaps in 2020: </w:t>
      </w:r>
    </w:p>
    <w:p w:rsidRPr="005E4B85" w:rsidR="00043B02" w:rsidP="00043B02" w:rsidRDefault="00043B02" w14:paraId="27B2FF0D" w14:textId="4791D177">
      <w:pPr>
        <w:pStyle w:val="ListParagraph"/>
        <w:numPr>
          <w:ilvl w:val="0"/>
          <w:numId w:val="15"/>
        </w:numPr>
        <w:autoSpaceDE w:val="0"/>
        <w:autoSpaceDN w:val="0"/>
        <w:adjustRightInd w:val="0"/>
        <w:spacing w:after="60"/>
        <w:contextualSpacing/>
        <w:jc w:val="both"/>
        <w:rPr>
          <w:color w:val="0D0D0D"/>
          <w:sz w:val="20"/>
          <w:szCs w:val="20"/>
        </w:rPr>
      </w:pPr>
      <w:r w:rsidRPr="005E4B85">
        <w:rPr>
          <w:color w:val="0D0D0D"/>
          <w:sz w:val="20"/>
          <w:szCs w:val="20"/>
        </w:rPr>
        <w:t xml:space="preserve">under-investments in ER activities, increased reliance on harmful coping mechanisms, loss of livelihoods and income-generating opportunities </w:t>
      </w:r>
    </w:p>
    <w:p w:rsidRPr="005E4B85" w:rsidR="00043B02" w:rsidP="00043B02" w:rsidRDefault="00043B02" w14:paraId="18EF6F90" w14:textId="7872162B">
      <w:pPr>
        <w:pStyle w:val="ListParagraph"/>
        <w:numPr>
          <w:ilvl w:val="0"/>
          <w:numId w:val="15"/>
        </w:numPr>
        <w:autoSpaceDE w:val="0"/>
        <w:autoSpaceDN w:val="0"/>
        <w:adjustRightInd w:val="0"/>
        <w:spacing w:after="60"/>
        <w:contextualSpacing/>
        <w:jc w:val="both"/>
        <w:rPr>
          <w:color w:val="0D0D0D"/>
          <w:sz w:val="20"/>
          <w:szCs w:val="20"/>
        </w:rPr>
      </w:pPr>
      <w:r w:rsidRPr="005E4B85">
        <w:rPr>
          <w:color w:val="0D0D0D"/>
          <w:sz w:val="20"/>
          <w:szCs w:val="20"/>
        </w:rPr>
        <w:t>increased pressure on essential services and infrastructure due to Covid-19</w:t>
      </w:r>
    </w:p>
    <w:p w:rsidRPr="005E4B85" w:rsidR="00043B02" w:rsidP="00043B02" w:rsidRDefault="00043B02" w14:paraId="3497B8FC" w14:textId="5FAAE1D5">
      <w:pPr>
        <w:pStyle w:val="ListParagraph"/>
        <w:numPr>
          <w:ilvl w:val="0"/>
          <w:numId w:val="15"/>
        </w:numPr>
        <w:autoSpaceDE w:val="0"/>
        <w:autoSpaceDN w:val="0"/>
        <w:adjustRightInd w:val="0"/>
        <w:spacing w:after="60"/>
        <w:contextualSpacing/>
        <w:jc w:val="both"/>
        <w:rPr>
          <w:color w:val="0D0D0D"/>
          <w:sz w:val="20"/>
          <w:szCs w:val="20"/>
        </w:rPr>
      </w:pPr>
      <w:r w:rsidRPr="005E4B85">
        <w:rPr>
          <w:color w:val="0D0D0D"/>
          <w:sz w:val="20"/>
          <w:szCs w:val="20"/>
        </w:rPr>
        <w:t xml:space="preserve">gaps in assistance to persons with disabilities. </w:t>
      </w:r>
    </w:p>
    <w:p w:rsidRPr="005E4B85" w:rsidR="00043B02" w:rsidP="00043B02" w:rsidRDefault="00043B02" w14:paraId="3BA074F0" w14:textId="77777777">
      <w:pPr>
        <w:pStyle w:val="ListParagraph"/>
        <w:numPr>
          <w:ilvl w:val="0"/>
          <w:numId w:val="15"/>
        </w:numPr>
        <w:autoSpaceDE w:val="0"/>
        <w:autoSpaceDN w:val="0"/>
        <w:adjustRightInd w:val="0"/>
        <w:spacing w:after="60"/>
        <w:contextualSpacing/>
        <w:jc w:val="both"/>
        <w:rPr>
          <w:color w:val="0D0D0D"/>
          <w:sz w:val="20"/>
          <w:szCs w:val="20"/>
        </w:rPr>
      </w:pPr>
      <w:r w:rsidRPr="005E4B85">
        <w:rPr>
          <w:color w:val="0D0D0D"/>
          <w:sz w:val="20"/>
          <w:szCs w:val="20"/>
        </w:rPr>
        <w:t xml:space="preserve">59% response gap in terms of ERL reach versus </w:t>
      </w:r>
      <w:proofErr w:type="spellStart"/>
      <w:r w:rsidRPr="005E4B85">
        <w:rPr>
          <w:color w:val="0D0D0D"/>
          <w:sz w:val="20"/>
          <w:szCs w:val="20"/>
        </w:rPr>
        <w:t>PiN</w:t>
      </w:r>
      <w:proofErr w:type="spellEnd"/>
      <w:r w:rsidRPr="005E4B85">
        <w:rPr>
          <w:color w:val="0D0D0D"/>
          <w:sz w:val="20"/>
          <w:szCs w:val="20"/>
        </w:rPr>
        <w:t>, with largest response gaps in Homs (99%), As-</w:t>
      </w:r>
      <w:proofErr w:type="spellStart"/>
      <w:r w:rsidRPr="005E4B85">
        <w:rPr>
          <w:color w:val="0D0D0D"/>
          <w:sz w:val="20"/>
          <w:szCs w:val="20"/>
        </w:rPr>
        <w:t>Sweida</w:t>
      </w:r>
      <w:proofErr w:type="spellEnd"/>
      <w:r w:rsidRPr="005E4B85">
        <w:rPr>
          <w:color w:val="0D0D0D"/>
          <w:sz w:val="20"/>
          <w:szCs w:val="20"/>
        </w:rPr>
        <w:t xml:space="preserve"> (96%), Damascus (96%), Hama and Rural Damascus (95%), and Ar-Raqqa (92%).</w:t>
      </w:r>
    </w:p>
    <w:p w:rsidRPr="005E4B85" w:rsidR="00043B02" w:rsidDel="003865DD" w:rsidP="00055035" w:rsidRDefault="00043B02" w14:paraId="15B2E96A" w14:textId="459F6297">
      <w:pPr>
        <w:pStyle w:val="ListParagraph"/>
        <w:numPr>
          <w:ilvl w:val="0"/>
          <w:numId w:val="15"/>
        </w:numPr>
        <w:rPr>
          <w:color w:val="0D0D0D"/>
          <w:sz w:val="20"/>
          <w:szCs w:val="20"/>
        </w:rPr>
      </w:pPr>
      <w:r w:rsidRPr="005E4B85">
        <w:rPr>
          <w:color w:val="0D0D0D"/>
          <w:sz w:val="20"/>
          <w:szCs w:val="20"/>
        </w:rPr>
        <w:t>Largest programmatic response gaps: support to social cohesion (91%), access to livelihood opportunities (77%) and access to services (37%)</w:t>
      </w:r>
    </w:p>
    <w:p w:rsidRPr="00F543A8" w:rsidR="00043B02" w:rsidP="00AB48E7" w:rsidRDefault="00043B02" w14:paraId="2CD3FD52" w14:textId="77777777">
      <w:pPr>
        <w:pStyle w:val="ListParagraph"/>
      </w:pPr>
    </w:p>
    <w:p w:rsidRPr="005E4B85" w:rsidR="00043B02" w:rsidP="00EA1163" w:rsidRDefault="00043B02" w14:paraId="7AA039CA" w14:textId="5C0F605A">
      <w:pPr>
        <w:pStyle w:val="ListParagraph"/>
        <w:numPr>
          <w:ilvl w:val="0"/>
          <w:numId w:val="26"/>
        </w:numPr>
        <w:spacing w:after="160"/>
        <w:contextualSpacing/>
        <w:rPr>
          <w:b/>
          <w:bCs/>
          <w:sz w:val="20"/>
          <w:szCs w:val="20"/>
        </w:rPr>
      </w:pPr>
      <w:r w:rsidRPr="005E4B85">
        <w:rPr>
          <w:b/>
          <w:bCs/>
          <w:sz w:val="20"/>
          <w:szCs w:val="20"/>
        </w:rPr>
        <w:t xml:space="preserve">Critical sector priorities in 2021:   </w:t>
      </w:r>
    </w:p>
    <w:p w:rsidRPr="005E4B85" w:rsidR="00043B02" w:rsidP="00043B02" w:rsidRDefault="00043B02" w14:paraId="6FD5EED2" w14:textId="6C580C41">
      <w:pPr>
        <w:pStyle w:val="ListParagraph"/>
        <w:numPr>
          <w:ilvl w:val="0"/>
          <w:numId w:val="15"/>
        </w:numPr>
        <w:autoSpaceDE w:val="0"/>
        <w:autoSpaceDN w:val="0"/>
        <w:adjustRightInd w:val="0"/>
        <w:spacing w:after="60"/>
        <w:contextualSpacing/>
        <w:jc w:val="both"/>
        <w:rPr>
          <w:color w:val="0D0D0D"/>
          <w:sz w:val="20"/>
          <w:szCs w:val="20"/>
        </w:rPr>
      </w:pPr>
      <w:r w:rsidRPr="005E4B85">
        <w:rPr>
          <w:color w:val="0D0D0D"/>
          <w:sz w:val="20"/>
          <w:szCs w:val="20"/>
        </w:rPr>
        <w:t>income-generating activities, cash-for-work, grants, and in-kind support to urban/rural Micro, Small, and Medium Enterprises (MSME), vocational training matching labor market characteristics, and cash support to vulnerable families in urban and peri-urban areas, to reduce socio-economic vulnerability and negative coping strategies</w:t>
      </w:r>
      <w:r>
        <w:rPr>
          <w:color w:val="0D0D0D"/>
          <w:sz w:val="20"/>
          <w:szCs w:val="20"/>
        </w:rPr>
        <w:t>;</w:t>
      </w:r>
    </w:p>
    <w:p w:rsidR="00043B02" w:rsidP="00043B02" w:rsidRDefault="00043B02" w14:paraId="7D37D29D" w14:textId="77777777">
      <w:pPr>
        <w:pStyle w:val="ListParagraph"/>
        <w:numPr>
          <w:ilvl w:val="0"/>
          <w:numId w:val="15"/>
        </w:numPr>
        <w:autoSpaceDE w:val="0"/>
        <w:autoSpaceDN w:val="0"/>
        <w:adjustRightInd w:val="0"/>
        <w:spacing w:after="60"/>
        <w:contextualSpacing/>
        <w:jc w:val="both"/>
        <w:rPr>
          <w:color w:val="0D0D0D"/>
          <w:sz w:val="20"/>
          <w:szCs w:val="20"/>
        </w:rPr>
      </w:pPr>
      <w:r w:rsidRPr="00AD7A73">
        <w:rPr>
          <w:color w:val="0D0D0D"/>
          <w:sz w:val="20"/>
          <w:szCs w:val="20"/>
        </w:rPr>
        <w:t>scaling-up</w:t>
      </w:r>
      <w:r>
        <w:rPr>
          <w:color w:val="0D0D0D"/>
          <w:sz w:val="20"/>
          <w:szCs w:val="20"/>
        </w:rPr>
        <w:t xml:space="preserve"> </w:t>
      </w:r>
      <w:r w:rsidRPr="005E4B85">
        <w:rPr>
          <w:color w:val="0D0D0D"/>
          <w:sz w:val="20"/>
          <w:szCs w:val="20"/>
        </w:rPr>
        <w:t>cash-based and market-based transfer modalities to support</w:t>
      </w:r>
      <w:r>
        <w:rPr>
          <w:color w:val="0D0D0D"/>
          <w:sz w:val="20"/>
          <w:szCs w:val="20"/>
        </w:rPr>
        <w:t xml:space="preserve"> </w:t>
      </w:r>
      <w:r w:rsidRPr="005E4B85">
        <w:rPr>
          <w:color w:val="0D0D0D"/>
          <w:sz w:val="20"/>
          <w:szCs w:val="20"/>
        </w:rPr>
        <w:t>Persons Living with Disabilities (PLWD) and female-headed households</w:t>
      </w:r>
      <w:r>
        <w:rPr>
          <w:color w:val="0D0D0D"/>
          <w:sz w:val="20"/>
          <w:szCs w:val="20"/>
        </w:rPr>
        <w:t xml:space="preserve">, </w:t>
      </w:r>
      <w:r w:rsidRPr="005E4B85">
        <w:rPr>
          <w:color w:val="0D0D0D"/>
          <w:sz w:val="20"/>
          <w:szCs w:val="20"/>
        </w:rPr>
        <w:t>particularly HHs with children with severe disabilities</w:t>
      </w:r>
      <w:r>
        <w:rPr>
          <w:color w:val="0D0D0D"/>
          <w:sz w:val="20"/>
          <w:szCs w:val="20"/>
        </w:rPr>
        <w:t>;</w:t>
      </w:r>
    </w:p>
    <w:p w:rsidR="00043B02" w:rsidP="00043B02" w:rsidRDefault="00043B02" w14:paraId="6197D9A1" w14:textId="77777777">
      <w:pPr>
        <w:pStyle w:val="ListParagraph"/>
        <w:numPr>
          <w:ilvl w:val="0"/>
          <w:numId w:val="15"/>
        </w:numPr>
        <w:autoSpaceDE w:val="0"/>
        <w:autoSpaceDN w:val="0"/>
        <w:adjustRightInd w:val="0"/>
        <w:spacing w:after="60"/>
        <w:contextualSpacing/>
        <w:jc w:val="both"/>
        <w:rPr>
          <w:color w:val="0D0D0D"/>
          <w:sz w:val="20"/>
          <w:szCs w:val="20"/>
        </w:rPr>
      </w:pPr>
      <w:r w:rsidRPr="005E4B85">
        <w:rPr>
          <w:color w:val="0D0D0D"/>
          <w:sz w:val="20"/>
          <w:szCs w:val="20"/>
        </w:rPr>
        <w:t>restoration/rehabilitation of services and infrastructures essential for a quick resumption of economic activity and livelihoods creation, including access to electricity, hospitals, health care centers, schools, roads</w:t>
      </w:r>
      <w:r w:rsidRPr="002D3517">
        <w:rPr>
          <w:color w:val="0D0D0D"/>
          <w:sz w:val="20"/>
          <w:szCs w:val="20"/>
        </w:rPr>
        <w:t xml:space="preserve"> </w:t>
      </w:r>
      <w:r>
        <w:rPr>
          <w:color w:val="0D0D0D"/>
          <w:sz w:val="20"/>
          <w:szCs w:val="20"/>
        </w:rPr>
        <w:t>(</w:t>
      </w:r>
      <w:r w:rsidRPr="00A2371E">
        <w:rPr>
          <w:color w:val="0D0D0D"/>
          <w:sz w:val="20"/>
          <w:szCs w:val="20"/>
        </w:rPr>
        <w:t>close coordination with Education, Health, Protection, Shelter/NFI, and WASH on improving access to basic services</w:t>
      </w:r>
      <w:r>
        <w:rPr>
          <w:color w:val="0D0D0D"/>
          <w:sz w:val="20"/>
          <w:szCs w:val="20"/>
        </w:rPr>
        <w:t xml:space="preserve">); </w:t>
      </w:r>
    </w:p>
    <w:p w:rsidRPr="005E4B85" w:rsidR="00043B02" w:rsidP="00043B02" w:rsidRDefault="00043B02" w14:paraId="1984D46D" w14:textId="77777777">
      <w:pPr>
        <w:pStyle w:val="ListParagraph"/>
        <w:numPr>
          <w:ilvl w:val="0"/>
          <w:numId w:val="15"/>
        </w:numPr>
        <w:autoSpaceDE w:val="0"/>
        <w:autoSpaceDN w:val="0"/>
        <w:adjustRightInd w:val="0"/>
        <w:spacing w:after="60"/>
        <w:contextualSpacing/>
        <w:jc w:val="both"/>
        <w:rPr>
          <w:color w:val="0D0D0D"/>
          <w:sz w:val="20"/>
          <w:szCs w:val="20"/>
        </w:rPr>
      </w:pPr>
      <w:r w:rsidRPr="005E4B85">
        <w:rPr>
          <w:color w:val="0D0D0D"/>
          <w:sz w:val="20"/>
          <w:szCs w:val="20"/>
        </w:rPr>
        <w:t>basic socio-economic and production services such as markets, shops, storages, warehouses and other labor-intensive infrastructures</w:t>
      </w:r>
      <w:r w:rsidRPr="002D3517">
        <w:rPr>
          <w:color w:val="0D0D0D"/>
          <w:sz w:val="20"/>
          <w:szCs w:val="20"/>
        </w:rPr>
        <w:t xml:space="preserve"> </w:t>
      </w:r>
      <w:r>
        <w:rPr>
          <w:color w:val="0D0D0D"/>
          <w:sz w:val="20"/>
          <w:szCs w:val="20"/>
        </w:rPr>
        <w:t xml:space="preserve">(close </w:t>
      </w:r>
      <w:r w:rsidRPr="00471445">
        <w:rPr>
          <w:color w:val="0D0D0D"/>
          <w:sz w:val="20"/>
          <w:szCs w:val="20"/>
        </w:rPr>
        <w:t>coordination with FSA partners to enhance access to market-based livelihood opportunities and production</w:t>
      </w:r>
      <w:r>
        <w:rPr>
          <w:color w:val="0D0D0D"/>
          <w:sz w:val="20"/>
          <w:szCs w:val="20"/>
        </w:rPr>
        <w:t>);</w:t>
      </w:r>
    </w:p>
    <w:p w:rsidR="00043B02" w:rsidP="00043B02" w:rsidRDefault="00043B02" w14:paraId="7FD35B68" w14:textId="4B67F0FD">
      <w:pPr>
        <w:pStyle w:val="ListParagraph"/>
        <w:numPr>
          <w:ilvl w:val="0"/>
          <w:numId w:val="15"/>
        </w:numPr>
        <w:autoSpaceDE w:val="0"/>
        <w:autoSpaceDN w:val="0"/>
        <w:adjustRightInd w:val="0"/>
        <w:spacing w:after="60"/>
        <w:contextualSpacing/>
        <w:jc w:val="both"/>
        <w:rPr>
          <w:color w:val="0D0D0D"/>
          <w:sz w:val="20"/>
          <w:szCs w:val="20"/>
        </w:rPr>
      </w:pPr>
      <w:r w:rsidRPr="005E4B85">
        <w:rPr>
          <w:color w:val="0D0D0D"/>
          <w:sz w:val="20"/>
          <w:szCs w:val="20"/>
        </w:rPr>
        <w:t>strengthen</w:t>
      </w:r>
      <w:r>
        <w:rPr>
          <w:color w:val="0D0D0D"/>
          <w:sz w:val="20"/>
          <w:szCs w:val="20"/>
        </w:rPr>
        <w:t>ing</w:t>
      </w:r>
      <w:r w:rsidRPr="005E4B85">
        <w:rPr>
          <w:color w:val="0D0D0D"/>
          <w:sz w:val="20"/>
          <w:szCs w:val="20"/>
        </w:rPr>
        <w:t xml:space="preserve"> social cohesion</w:t>
      </w:r>
      <w:r>
        <w:rPr>
          <w:color w:val="0D0D0D"/>
          <w:sz w:val="20"/>
          <w:szCs w:val="20"/>
        </w:rPr>
        <w:t>, c</w:t>
      </w:r>
      <w:r w:rsidRPr="005E4B85">
        <w:rPr>
          <w:color w:val="0D0D0D"/>
          <w:sz w:val="20"/>
          <w:szCs w:val="20"/>
        </w:rPr>
        <w:t xml:space="preserve">ivic engagement community initiatives and capacity building of local civil society organizations. </w:t>
      </w:r>
      <w:r>
        <w:rPr>
          <w:color w:val="0D0D0D"/>
          <w:sz w:val="20"/>
          <w:szCs w:val="20"/>
        </w:rPr>
        <w:t xml:space="preserve"> </w:t>
      </w:r>
    </w:p>
    <w:p w:rsidRPr="005E4B85" w:rsidR="00043B02" w:rsidP="00043B02" w:rsidRDefault="00043B02" w14:paraId="6A6691F3" w14:textId="77777777">
      <w:pPr>
        <w:pStyle w:val="ListParagraph"/>
        <w:autoSpaceDE w:val="0"/>
        <w:autoSpaceDN w:val="0"/>
        <w:adjustRightInd w:val="0"/>
        <w:spacing w:after="60"/>
        <w:jc w:val="both"/>
        <w:rPr>
          <w:color w:val="0D0D0D"/>
          <w:sz w:val="20"/>
          <w:szCs w:val="20"/>
        </w:rPr>
      </w:pPr>
    </w:p>
    <w:p w:rsidRPr="005E4B85" w:rsidR="00043B02" w:rsidP="00EA1163" w:rsidRDefault="00043B02" w14:paraId="7C28FF62" w14:textId="12F20001">
      <w:pPr>
        <w:pStyle w:val="ListParagraph"/>
        <w:numPr>
          <w:ilvl w:val="0"/>
          <w:numId w:val="26"/>
        </w:numPr>
        <w:spacing w:after="160"/>
        <w:contextualSpacing/>
        <w:rPr>
          <w:b/>
          <w:bCs/>
          <w:sz w:val="20"/>
          <w:szCs w:val="20"/>
        </w:rPr>
      </w:pPr>
      <w:r w:rsidRPr="005E4B85">
        <w:rPr>
          <w:b/>
          <w:bCs/>
          <w:sz w:val="20"/>
          <w:szCs w:val="20"/>
        </w:rPr>
        <w:t xml:space="preserve">Key messages to donors as at June 2021 (which the HCs could help amplify): </w:t>
      </w:r>
    </w:p>
    <w:p w:rsidRPr="005E4B85" w:rsidR="00043B02" w:rsidP="00043B02" w:rsidRDefault="00043B02" w14:paraId="1C93868B" w14:textId="36ADDDAE">
      <w:pPr>
        <w:pStyle w:val="ListParagraph"/>
        <w:numPr>
          <w:ilvl w:val="0"/>
          <w:numId w:val="15"/>
        </w:numPr>
        <w:autoSpaceDE w:val="0"/>
        <w:autoSpaceDN w:val="0"/>
        <w:adjustRightInd w:val="0"/>
        <w:contextualSpacing/>
        <w:jc w:val="both"/>
        <w:rPr>
          <w:color w:val="0D0D0D"/>
          <w:sz w:val="20"/>
          <w:szCs w:val="20"/>
        </w:rPr>
      </w:pPr>
      <w:r w:rsidRPr="005E4B85">
        <w:rPr>
          <w:color w:val="0D0D0D"/>
          <w:sz w:val="20"/>
          <w:szCs w:val="20"/>
        </w:rPr>
        <w:t xml:space="preserve">With an approximate 18 per cent increase in </w:t>
      </w:r>
      <w:proofErr w:type="spellStart"/>
      <w:r w:rsidRPr="005E4B85" w:rsidDel="009909BB">
        <w:rPr>
          <w:color w:val="0D0D0D"/>
          <w:sz w:val="20"/>
          <w:szCs w:val="20"/>
        </w:rPr>
        <w:t>PiN</w:t>
      </w:r>
      <w:proofErr w:type="spellEnd"/>
      <w:r w:rsidRPr="005E4B85" w:rsidDel="009909BB">
        <w:rPr>
          <w:color w:val="0D0D0D"/>
          <w:sz w:val="20"/>
          <w:szCs w:val="20"/>
        </w:rPr>
        <w:t xml:space="preserve"> in 2021, the Sector requires full funding to undertake essential response activities and </w:t>
      </w:r>
      <w:r w:rsidRPr="005E4B85">
        <w:rPr>
          <w:color w:val="0D0D0D"/>
          <w:sz w:val="20"/>
          <w:szCs w:val="20"/>
        </w:rPr>
        <w:t>ensure that the most urgent needs are addressed. Underfunding of the ERL response will impact the ability</w:t>
      </w:r>
      <w:r w:rsidRPr="005E4B85" w:rsidDel="00F66334">
        <w:rPr>
          <w:color w:val="0D0D0D"/>
          <w:sz w:val="20"/>
          <w:szCs w:val="20"/>
        </w:rPr>
        <w:t xml:space="preserve"> </w:t>
      </w:r>
      <w:r w:rsidRPr="005E4B85">
        <w:rPr>
          <w:color w:val="0D0D0D"/>
          <w:sz w:val="20"/>
          <w:szCs w:val="20"/>
        </w:rPr>
        <w:t>to improve the resilience and self-reliance of people.</w:t>
      </w:r>
      <w:r w:rsidRPr="005E4B85" w:rsidDel="00F66334">
        <w:rPr>
          <w:color w:val="0D0D0D"/>
          <w:sz w:val="20"/>
          <w:szCs w:val="20"/>
        </w:rPr>
        <w:t xml:space="preserve"> </w:t>
      </w:r>
      <w:r w:rsidRPr="005E4B85">
        <w:rPr>
          <w:color w:val="0D0D0D"/>
          <w:sz w:val="20"/>
          <w:szCs w:val="20"/>
        </w:rPr>
        <w:t xml:space="preserve"> </w:t>
      </w:r>
    </w:p>
    <w:p w:rsidRPr="005E4B85" w:rsidR="00043B02" w:rsidP="00043B02" w:rsidRDefault="00043B02" w14:paraId="46B605E7" w14:textId="14BC8620">
      <w:pPr>
        <w:pStyle w:val="ListParagraph"/>
        <w:numPr>
          <w:ilvl w:val="0"/>
          <w:numId w:val="15"/>
        </w:numPr>
        <w:autoSpaceDE w:val="0"/>
        <w:autoSpaceDN w:val="0"/>
        <w:adjustRightInd w:val="0"/>
        <w:contextualSpacing/>
        <w:jc w:val="both"/>
        <w:rPr>
          <w:color w:val="0D0D0D"/>
          <w:sz w:val="20"/>
          <w:szCs w:val="20"/>
        </w:rPr>
      </w:pPr>
      <w:r w:rsidRPr="005E4B85">
        <w:rPr>
          <w:color w:val="0D0D0D"/>
          <w:sz w:val="20"/>
          <w:szCs w:val="20"/>
        </w:rPr>
        <w:t>The continuous deterioration of HHs’ economic situation across the country points to the urgency of scaling up access to livelihoods/income-generating opportunities, support both new and existing businesses and revive the potential of local value chains.</w:t>
      </w:r>
    </w:p>
    <w:p w:rsidRPr="005E4B85" w:rsidR="00043B02" w:rsidP="00043B02" w:rsidRDefault="00043B02" w14:paraId="27039F4A" w14:textId="5F20CA11">
      <w:pPr>
        <w:pStyle w:val="ListParagraph"/>
        <w:numPr>
          <w:ilvl w:val="0"/>
          <w:numId w:val="15"/>
        </w:numPr>
        <w:autoSpaceDE w:val="0"/>
        <w:autoSpaceDN w:val="0"/>
        <w:adjustRightInd w:val="0"/>
        <w:contextualSpacing/>
        <w:jc w:val="both"/>
        <w:rPr>
          <w:color w:val="0D0D0D"/>
          <w:sz w:val="20"/>
          <w:szCs w:val="20"/>
        </w:rPr>
      </w:pPr>
      <w:r w:rsidRPr="005E4B85">
        <w:rPr>
          <w:color w:val="0D0D0D"/>
          <w:sz w:val="20"/>
          <w:szCs w:val="20"/>
        </w:rPr>
        <w:t>It is crucial to redouble efforts to restore and rehabilitate, inter alia, electricity networks, water and sanitation systems, key</w:t>
      </w:r>
      <w:r w:rsidRPr="005E4B85" w:rsidDel="00F66334">
        <w:rPr>
          <w:color w:val="0D0D0D"/>
          <w:sz w:val="20"/>
          <w:szCs w:val="20"/>
        </w:rPr>
        <w:t xml:space="preserve"> </w:t>
      </w:r>
      <w:r w:rsidRPr="005E4B85">
        <w:rPr>
          <w:color w:val="0D0D0D"/>
          <w:sz w:val="20"/>
          <w:szCs w:val="20"/>
        </w:rPr>
        <w:t xml:space="preserve">roads that facilitate access, prevent disasters (floods), </w:t>
      </w:r>
      <w:r w:rsidRPr="005E4B85" w:rsidDel="0052587B">
        <w:rPr>
          <w:color w:val="0D0D0D"/>
          <w:sz w:val="20"/>
          <w:szCs w:val="20"/>
        </w:rPr>
        <w:t xml:space="preserve">benefit economic recovery, </w:t>
      </w:r>
      <w:r w:rsidRPr="005E4B85">
        <w:rPr>
          <w:color w:val="0D0D0D"/>
          <w:sz w:val="20"/>
          <w:szCs w:val="20"/>
        </w:rPr>
        <w:t>markets, and other key socio-economic infrastructures.</w:t>
      </w:r>
    </w:p>
    <w:p w:rsidRPr="005E4B85" w:rsidR="00043B02" w:rsidP="00043B02" w:rsidRDefault="00043B02" w14:paraId="5102AF60" w14:textId="2256135D">
      <w:pPr>
        <w:pStyle w:val="ListParagraph"/>
        <w:numPr>
          <w:ilvl w:val="0"/>
          <w:numId w:val="15"/>
        </w:numPr>
        <w:autoSpaceDE w:val="0"/>
        <w:autoSpaceDN w:val="0"/>
        <w:adjustRightInd w:val="0"/>
        <w:contextualSpacing/>
        <w:jc w:val="both"/>
        <w:rPr>
          <w:color w:val="0D0D0D"/>
          <w:sz w:val="20"/>
          <w:szCs w:val="20"/>
        </w:rPr>
      </w:pPr>
      <w:r w:rsidRPr="005E4B85">
        <w:rPr>
          <w:color w:val="0D0D0D"/>
          <w:sz w:val="20"/>
          <w:szCs w:val="20"/>
        </w:rPr>
        <w:t xml:space="preserve">The Impact of COVID-19 and the sanctions </w:t>
      </w:r>
      <w:r>
        <w:rPr>
          <w:color w:val="0D0D0D"/>
          <w:sz w:val="20"/>
          <w:szCs w:val="20"/>
        </w:rPr>
        <w:t xml:space="preserve">have </w:t>
      </w:r>
      <w:r w:rsidRPr="005E4B85">
        <w:rPr>
          <w:color w:val="0D0D0D"/>
          <w:sz w:val="20"/>
          <w:szCs w:val="20"/>
        </w:rPr>
        <w:t>increased the risk of a further deterioration of inter-group dynamics within the country’s diverse social fabric. This requires donors to support sustained programming that is inclusive of all most vulnerable groups, including through conflict resolution and social cohesion community initiatives. Furthermore, there is a need to scale up investments to ensure PWD are increasingly reached and fully included in the humanitarian response.</w:t>
      </w:r>
    </w:p>
    <w:p w:rsidRPr="005E4B85" w:rsidR="00043B02" w:rsidP="00043B02" w:rsidRDefault="00043B02" w14:paraId="27B64079" w14:textId="57E1E6A9">
      <w:pPr>
        <w:pStyle w:val="ListParagraph"/>
        <w:numPr>
          <w:ilvl w:val="0"/>
          <w:numId w:val="15"/>
        </w:numPr>
        <w:autoSpaceDE w:val="0"/>
        <w:autoSpaceDN w:val="0"/>
        <w:adjustRightInd w:val="0"/>
        <w:contextualSpacing/>
        <w:jc w:val="both"/>
        <w:rPr>
          <w:color w:val="0D0D0D"/>
          <w:sz w:val="20"/>
          <w:szCs w:val="20"/>
        </w:rPr>
      </w:pPr>
      <w:r w:rsidRPr="005E4B85">
        <w:rPr>
          <w:color w:val="0D0D0D"/>
          <w:sz w:val="20"/>
          <w:szCs w:val="20"/>
        </w:rPr>
        <w:t>ERL interventions will be implemented in line with the agreed parameters and principles of the humanitarian response. Early recovery and resilience activities offer an opportunity to go beyond immediate life-saving assistance and provide minimum living conditions for affected communities.</w:t>
      </w:r>
    </w:p>
    <w:p w:rsidRPr="00C83D62" w:rsidR="00043B02" w:rsidP="00EA1163" w:rsidRDefault="00043B02" w14:paraId="23CDA517" w14:textId="4EC4E4E8">
      <w:pPr>
        <w:spacing w:line="240" w:lineRule="auto"/>
        <w:rPr>
          <w:b/>
          <w:bCs/>
          <w:sz w:val="18"/>
          <w:szCs w:val="18"/>
        </w:rPr>
      </w:pPr>
    </w:p>
    <w:p w:rsidRPr="00C83D62" w:rsidR="00043B02" w:rsidP="00EA1163" w:rsidRDefault="00043B02" w14:paraId="23432D29" w14:textId="780278BF">
      <w:pPr>
        <w:spacing w:line="240" w:lineRule="auto"/>
        <w:ind w:firstLine="720"/>
        <w:rPr>
          <w:b/>
          <w:bCs/>
          <w:sz w:val="20"/>
          <w:szCs w:val="20"/>
        </w:rPr>
      </w:pPr>
      <w:r w:rsidRPr="00C83D62">
        <w:rPr>
          <w:b/>
          <w:bCs/>
          <w:sz w:val="20"/>
          <w:szCs w:val="20"/>
        </w:rPr>
        <w:t xml:space="preserve">Top appealing organizations in the Sector: </w:t>
      </w:r>
    </w:p>
    <w:tbl>
      <w:tblPr>
        <w:tblW w:w="9640" w:type="dxa"/>
        <w:jc w:val="center"/>
        <w:tblLook w:val="04A0" w:firstRow="1" w:lastRow="0" w:firstColumn="1" w:lastColumn="0" w:noHBand="0" w:noVBand="1"/>
      </w:tblPr>
      <w:tblGrid>
        <w:gridCol w:w="2119"/>
        <w:gridCol w:w="1231"/>
        <w:gridCol w:w="1085"/>
        <w:gridCol w:w="1231"/>
        <w:gridCol w:w="888"/>
        <w:gridCol w:w="3086"/>
      </w:tblGrid>
      <w:tr w:rsidRPr="00E50232" w:rsidR="00E50232" w:rsidTr="00700131" w14:paraId="3A2F5670" w14:textId="77777777">
        <w:trPr>
          <w:trHeight w:val="363"/>
          <w:jc w:val="center"/>
        </w:trPr>
        <w:tc>
          <w:tcPr>
            <w:tcW w:w="2440" w:type="dxa"/>
            <w:tcBorders>
              <w:top w:val="single" w:color="4472C4" w:sz="4" w:space="0"/>
              <w:left w:val="single" w:color="4472C4" w:sz="4" w:space="0"/>
              <w:bottom w:val="nil"/>
              <w:right w:val="nil"/>
            </w:tcBorders>
            <w:shd w:val="clear" w:color="4472C4" w:fill="4472C4"/>
            <w:vAlign w:val="center"/>
            <w:hideMark/>
          </w:tcPr>
          <w:p w:rsidRPr="00E50232" w:rsidR="00E50232" w:rsidP="00E50232" w:rsidRDefault="00E50232" w14:paraId="20AACB35" w14:textId="77777777">
            <w:pPr>
              <w:spacing w:after="0" w:line="240" w:lineRule="auto"/>
              <w:rPr>
                <w:rFonts w:ascii="Calibri" w:hAnsi="Calibri" w:eastAsia="Times New Roman" w:cs="Times New Roman"/>
                <w:b/>
                <w:bCs/>
                <w:color w:val="FFFFFF"/>
                <w:sz w:val="18"/>
                <w:szCs w:val="18"/>
                <w:lang w:eastAsia="zh-CN"/>
              </w:rPr>
            </w:pPr>
            <w:r w:rsidRPr="00E50232">
              <w:rPr>
                <w:rFonts w:ascii="Calibri" w:hAnsi="Calibri" w:eastAsia="Times New Roman" w:cs="Times New Roman"/>
                <w:b/>
                <w:bCs/>
                <w:color w:val="FFFFFF"/>
                <w:sz w:val="18"/>
                <w:szCs w:val="18"/>
                <w:lang w:eastAsia="zh-CN"/>
              </w:rPr>
              <w:t>Organizations</w:t>
            </w:r>
          </w:p>
        </w:tc>
        <w:tc>
          <w:tcPr>
            <w:tcW w:w="1062" w:type="dxa"/>
            <w:tcBorders>
              <w:top w:val="single" w:color="4472C4" w:sz="4" w:space="0"/>
              <w:left w:val="nil"/>
              <w:bottom w:val="nil"/>
              <w:right w:val="nil"/>
            </w:tcBorders>
            <w:shd w:val="clear" w:color="4472C4" w:fill="4472C4"/>
            <w:vAlign w:val="bottom"/>
            <w:hideMark/>
          </w:tcPr>
          <w:p w:rsidRPr="00E50232" w:rsidR="00E50232" w:rsidP="00E50232" w:rsidRDefault="00E50232" w14:paraId="53427C4E" w14:textId="77777777">
            <w:pPr>
              <w:spacing w:after="0" w:line="240" w:lineRule="auto"/>
              <w:jc w:val="right"/>
              <w:rPr>
                <w:rFonts w:ascii="Calibri" w:hAnsi="Calibri" w:eastAsia="Times New Roman" w:cs="Times New Roman"/>
                <w:b/>
                <w:bCs/>
                <w:color w:val="FFFFFF"/>
                <w:sz w:val="18"/>
                <w:szCs w:val="18"/>
                <w:lang w:eastAsia="zh-CN"/>
              </w:rPr>
            </w:pPr>
            <w:r w:rsidRPr="00E50232">
              <w:rPr>
                <w:rFonts w:ascii="Calibri" w:hAnsi="Calibri" w:eastAsia="Times New Roman" w:cs="Times New Roman"/>
                <w:b/>
                <w:bCs/>
                <w:color w:val="FFFFFF"/>
                <w:sz w:val="18"/>
                <w:szCs w:val="18"/>
                <w:lang w:eastAsia="zh-CN"/>
              </w:rPr>
              <w:t xml:space="preserve"> 2020 requirements US$ </w:t>
            </w:r>
          </w:p>
        </w:tc>
        <w:tc>
          <w:tcPr>
            <w:tcW w:w="1003" w:type="dxa"/>
            <w:tcBorders>
              <w:top w:val="single" w:color="4472C4" w:sz="4" w:space="0"/>
              <w:left w:val="nil"/>
              <w:bottom w:val="nil"/>
              <w:right w:val="nil"/>
            </w:tcBorders>
            <w:shd w:val="clear" w:color="4472C4" w:fill="4472C4"/>
            <w:vAlign w:val="bottom"/>
            <w:hideMark/>
          </w:tcPr>
          <w:p w:rsidRPr="00E50232" w:rsidR="00E50232" w:rsidP="00E50232" w:rsidRDefault="00E50232" w14:paraId="38A7A430" w14:textId="77777777">
            <w:pPr>
              <w:spacing w:after="0" w:line="240" w:lineRule="auto"/>
              <w:jc w:val="right"/>
              <w:rPr>
                <w:rFonts w:ascii="Calibri" w:hAnsi="Calibri" w:eastAsia="Times New Roman" w:cs="Times New Roman"/>
                <w:b/>
                <w:bCs/>
                <w:color w:val="FFFFFF"/>
                <w:sz w:val="18"/>
                <w:szCs w:val="18"/>
                <w:lang w:eastAsia="zh-CN"/>
              </w:rPr>
            </w:pPr>
            <w:r w:rsidRPr="00E50232">
              <w:rPr>
                <w:rFonts w:ascii="Calibri" w:hAnsi="Calibri" w:eastAsia="Times New Roman" w:cs="Times New Roman"/>
                <w:b/>
                <w:bCs/>
                <w:color w:val="FFFFFF"/>
                <w:sz w:val="18"/>
                <w:szCs w:val="18"/>
                <w:lang w:eastAsia="zh-CN"/>
              </w:rPr>
              <w:t xml:space="preserve">2020 </w:t>
            </w:r>
            <w:r w:rsidRPr="00E50232">
              <w:rPr>
                <w:rFonts w:ascii="Calibri" w:hAnsi="Calibri" w:eastAsia="Times New Roman" w:cs="Times New Roman"/>
                <w:b/>
                <w:bCs/>
                <w:color w:val="FFFFFF"/>
                <w:sz w:val="18"/>
                <w:szCs w:val="18"/>
                <w:lang w:eastAsia="zh-CN"/>
              </w:rPr>
              <w:br/>
            </w:r>
            <w:r w:rsidRPr="00E50232">
              <w:rPr>
                <w:rFonts w:ascii="Calibri" w:hAnsi="Calibri" w:eastAsia="Times New Roman" w:cs="Times New Roman"/>
                <w:b/>
                <w:bCs/>
                <w:color w:val="FFFFFF"/>
                <w:sz w:val="18"/>
                <w:szCs w:val="18"/>
                <w:lang w:eastAsia="zh-CN"/>
              </w:rPr>
              <w:t>Coverage %</w:t>
            </w:r>
          </w:p>
        </w:tc>
        <w:tc>
          <w:tcPr>
            <w:tcW w:w="1064" w:type="dxa"/>
            <w:tcBorders>
              <w:top w:val="single" w:color="4472C4" w:sz="4" w:space="0"/>
              <w:left w:val="nil"/>
              <w:bottom w:val="nil"/>
              <w:right w:val="nil"/>
            </w:tcBorders>
            <w:shd w:val="clear" w:color="4472C4" w:fill="4472C4"/>
            <w:vAlign w:val="bottom"/>
            <w:hideMark/>
          </w:tcPr>
          <w:p w:rsidRPr="00E50232" w:rsidR="00E50232" w:rsidP="00E50232" w:rsidRDefault="00E50232" w14:paraId="125295D7" w14:textId="77777777">
            <w:pPr>
              <w:spacing w:after="0" w:line="240" w:lineRule="auto"/>
              <w:jc w:val="right"/>
              <w:rPr>
                <w:rFonts w:ascii="Calibri" w:hAnsi="Calibri" w:eastAsia="Times New Roman" w:cs="Times New Roman"/>
                <w:b/>
                <w:bCs/>
                <w:color w:val="FFFFFF"/>
                <w:sz w:val="18"/>
                <w:szCs w:val="18"/>
                <w:lang w:eastAsia="zh-CN"/>
              </w:rPr>
            </w:pPr>
            <w:r w:rsidRPr="00E50232">
              <w:rPr>
                <w:rFonts w:ascii="Calibri" w:hAnsi="Calibri" w:eastAsia="Times New Roman" w:cs="Times New Roman"/>
                <w:b/>
                <w:bCs/>
                <w:color w:val="FFFFFF"/>
                <w:sz w:val="18"/>
                <w:szCs w:val="18"/>
                <w:lang w:eastAsia="zh-CN"/>
              </w:rPr>
              <w:t xml:space="preserve"> 2021 requirements US$ </w:t>
            </w:r>
          </w:p>
        </w:tc>
        <w:tc>
          <w:tcPr>
            <w:tcW w:w="783" w:type="dxa"/>
            <w:tcBorders>
              <w:top w:val="single" w:color="4472C4" w:sz="4" w:space="0"/>
              <w:left w:val="nil"/>
              <w:bottom w:val="nil"/>
              <w:right w:val="nil"/>
            </w:tcBorders>
            <w:shd w:val="clear" w:color="4472C4" w:fill="4472C4"/>
            <w:vAlign w:val="bottom"/>
            <w:hideMark/>
          </w:tcPr>
          <w:p w:rsidRPr="00E50232" w:rsidR="00E50232" w:rsidP="00E50232" w:rsidRDefault="00E50232" w14:paraId="054B08C4" w14:textId="77777777">
            <w:pPr>
              <w:spacing w:after="0" w:line="240" w:lineRule="auto"/>
              <w:jc w:val="right"/>
              <w:rPr>
                <w:rFonts w:ascii="Calibri" w:hAnsi="Calibri" w:eastAsia="Times New Roman" w:cs="Times New Roman"/>
                <w:b/>
                <w:bCs/>
                <w:color w:val="FFFFFF"/>
                <w:sz w:val="18"/>
                <w:szCs w:val="18"/>
                <w:lang w:eastAsia="zh-CN"/>
              </w:rPr>
            </w:pPr>
            <w:r w:rsidRPr="00E50232">
              <w:rPr>
                <w:rFonts w:ascii="Calibri" w:hAnsi="Calibri" w:eastAsia="Times New Roman" w:cs="Times New Roman"/>
                <w:b/>
                <w:bCs/>
                <w:color w:val="FFFFFF"/>
                <w:sz w:val="18"/>
                <w:szCs w:val="18"/>
                <w:lang w:eastAsia="zh-CN"/>
              </w:rPr>
              <w:t>% variation to 2020</w:t>
            </w:r>
          </w:p>
        </w:tc>
        <w:tc>
          <w:tcPr>
            <w:tcW w:w="3288" w:type="dxa"/>
            <w:tcBorders>
              <w:top w:val="single" w:color="4472C4" w:sz="4" w:space="0"/>
              <w:left w:val="nil"/>
              <w:bottom w:val="nil"/>
              <w:right w:val="single" w:color="4472C4" w:sz="4" w:space="0"/>
            </w:tcBorders>
            <w:shd w:val="clear" w:color="4472C4" w:fill="4472C4"/>
            <w:vAlign w:val="bottom"/>
            <w:hideMark/>
          </w:tcPr>
          <w:p w:rsidRPr="00E50232" w:rsidR="00E50232" w:rsidP="00E50232" w:rsidRDefault="00E50232" w14:paraId="2A9BE866" w14:textId="77777777">
            <w:pPr>
              <w:spacing w:after="0" w:line="240" w:lineRule="auto"/>
              <w:rPr>
                <w:rFonts w:ascii="Calibri" w:hAnsi="Calibri" w:eastAsia="Times New Roman" w:cs="Times New Roman"/>
                <w:b/>
                <w:bCs/>
                <w:color w:val="FFFFFF"/>
                <w:sz w:val="18"/>
                <w:szCs w:val="18"/>
                <w:lang w:eastAsia="zh-CN"/>
              </w:rPr>
            </w:pPr>
            <w:r w:rsidRPr="00E50232">
              <w:rPr>
                <w:rFonts w:ascii="Calibri" w:hAnsi="Calibri" w:eastAsia="Times New Roman" w:cs="Times New Roman"/>
                <w:b/>
                <w:bCs/>
                <w:color w:val="FFFFFF"/>
                <w:sz w:val="18"/>
                <w:szCs w:val="18"/>
                <w:lang w:eastAsia="zh-CN"/>
              </w:rPr>
              <w:t xml:space="preserve"> Geographic coverage</w:t>
            </w:r>
            <w:r w:rsidRPr="00E50232">
              <w:rPr>
                <w:rFonts w:ascii="Calibri" w:hAnsi="Calibri" w:eastAsia="Times New Roman" w:cs="Times New Roman"/>
                <w:b/>
                <w:bCs/>
                <w:color w:val="FFFFFF"/>
                <w:sz w:val="18"/>
                <w:szCs w:val="18"/>
                <w:lang w:eastAsia="zh-CN"/>
              </w:rPr>
              <w:br/>
            </w:r>
            <w:r w:rsidRPr="00E50232">
              <w:rPr>
                <w:rFonts w:ascii="Calibri" w:hAnsi="Calibri" w:eastAsia="Times New Roman" w:cs="Times New Roman"/>
                <w:b/>
                <w:bCs/>
                <w:color w:val="FFFFFF"/>
                <w:sz w:val="18"/>
                <w:szCs w:val="18"/>
                <w:lang w:eastAsia="zh-CN"/>
              </w:rPr>
              <w:t xml:space="preserve">(main governorates) </w:t>
            </w:r>
          </w:p>
        </w:tc>
      </w:tr>
      <w:tr w:rsidRPr="00E50232" w:rsidR="00E50232" w:rsidTr="00700131" w14:paraId="5599352F" w14:textId="77777777">
        <w:trPr>
          <w:trHeight w:val="212"/>
          <w:jc w:val="center"/>
        </w:trPr>
        <w:tc>
          <w:tcPr>
            <w:tcW w:w="2440" w:type="dxa"/>
            <w:tcBorders>
              <w:top w:val="single" w:color="4472C4" w:sz="4" w:space="0"/>
              <w:left w:val="single" w:color="4472C4" w:sz="4" w:space="0"/>
              <w:bottom w:val="nil"/>
              <w:right w:val="nil"/>
            </w:tcBorders>
            <w:shd w:val="clear" w:color="auto" w:fill="auto"/>
            <w:vAlign w:val="center"/>
            <w:hideMark/>
          </w:tcPr>
          <w:p w:rsidRPr="00E50232" w:rsidR="00E50232" w:rsidP="00E50232" w:rsidRDefault="00E50232" w14:paraId="4513E82B"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United Nations Development </w:t>
            </w:r>
            <w:proofErr w:type="spellStart"/>
            <w:r w:rsidRPr="00E50232">
              <w:rPr>
                <w:rFonts w:ascii="Calibri" w:hAnsi="Calibri" w:eastAsia="Times New Roman" w:cs="Times New Roman"/>
                <w:color w:val="000000"/>
                <w:sz w:val="18"/>
                <w:szCs w:val="18"/>
                <w:lang w:eastAsia="zh-CN"/>
              </w:rPr>
              <w:t>Programme</w:t>
            </w:r>
            <w:proofErr w:type="spellEnd"/>
          </w:p>
        </w:tc>
        <w:tc>
          <w:tcPr>
            <w:tcW w:w="1062" w:type="dxa"/>
            <w:tcBorders>
              <w:top w:val="single" w:color="4472C4" w:sz="4" w:space="0"/>
              <w:left w:val="nil"/>
              <w:bottom w:val="nil"/>
              <w:right w:val="nil"/>
            </w:tcBorders>
            <w:shd w:val="clear" w:color="auto" w:fill="auto"/>
            <w:noWrap/>
            <w:vAlign w:val="bottom"/>
            <w:hideMark/>
          </w:tcPr>
          <w:p w:rsidRPr="00E50232" w:rsidR="00E50232" w:rsidP="00E50232" w:rsidRDefault="00E50232" w14:paraId="27BE9F86"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                56,703,800 </w:t>
            </w:r>
          </w:p>
        </w:tc>
        <w:tc>
          <w:tcPr>
            <w:tcW w:w="1003" w:type="dxa"/>
            <w:tcBorders>
              <w:top w:val="single" w:color="4472C4" w:sz="4" w:space="0"/>
              <w:left w:val="nil"/>
              <w:bottom w:val="nil"/>
              <w:right w:val="nil"/>
            </w:tcBorders>
            <w:shd w:val="clear" w:color="000000" w:fill="FFF2CC"/>
            <w:noWrap/>
            <w:vAlign w:val="bottom"/>
            <w:hideMark/>
          </w:tcPr>
          <w:p w:rsidRPr="00E50232" w:rsidR="00E50232" w:rsidP="00E50232" w:rsidRDefault="00E50232" w14:paraId="56FAB2B7"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35%</w:t>
            </w:r>
          </w:p>
        </w:tc>
        <w:tc>
          <w:tcPr>
            <w:tcW w:w="1064" w:type="dxa"/>
            <w:tcBorders>
              <w:top w:val="single" w:color="4472C4" w:sz="4" w:space="0"/>
              <w:left w:val="nil"/>
              <w:bottom w:val="nil"/>
              <w:right w:val="nil"/>
            </w:tcBorders>
            <w:shd w:val="clear" w:color="auto" w:fill="auto"/>
            <w:noWrap/>
            <w:vAlign w:val="bottom"/>
            <w:hideMark/>
          </w:tcPr>
          <w:p w:rsidRPr="00E50232" w:rsidR="00E50232" w:rsidP="00E50232" w:rsidRDefault="00E50232" w14:paraId="6AA70AEB" w14:textId="77777777">
            <w:pPr>
              <w:spacing w:after="0" w:line="240" w:lineRule="auto"/>
              <w:jc w:val="right"/>
              <w:rPr>
                <w:rFonts w:ascii="Calibri" w:hAnsi="Calibri" w:eastAsia="Times New Roman" w:cs="Times New Roman"/>
                <w:b/>
                <w:bCs/>
                <w:color w:val="000000"/>
                <w:sz w:val="18"/>
                <w:szCs w:val="18"/>
                <w:lang w:eastAsia="zh-CN"/>
              </w:rPr>
            </w:pPr>
            <w:r w:rsidRPr="00E50232">
              <w:rPr>
                <w:rFonts w:ascii="Calibri" w:hAnsi="Calibri" w:eastAsia="Times New Roman" w:cs="Times New Roman"/>
                <w:b/>
                <w:bCs/>
                <w:color w:val="000000"/>
                <w:sz w:val="18"/>
                <w:szCs w:val="18"/>
                <w:lang w:eastAsia="zh-CN"/>
              </w:rPr>
              <w:t xml:space="preserve">                56,703,800 </w:t>
            </w:r>
          </w:p>
        </w:tc>
        <w:tc>
          <w:tcPr>
            <w:tcW w:w="783" w:type="dxa"/>
            <w:tcBorders>
              <w:top w:val="single" w:color="4472C4" w:sz="4" w:space="0"/>
              <w:left w:val="nil"/>
              <w:bottom w:val="nil"/>
              <w:right w:val="nil"/>
            </w:tcBorders>
            <w:shd w:val="clear" w:color="000000" w:fill="C6E0B4"/>
            <w:noWrap/>
            <w:vAlign w:val="bottom"/>
            <w:hideMark/>
          </w:tcPr>
          <w:p w:rsidRPr="00E50232" w:rsidR="00E50232" w:rsidP="00E50232" w:rsidRDefault="00E50232" w14:paraId="255ABD8D"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0%</w:t>
            </w:r>
          </w:p>
        </w:tc>
        <w:tc>
          <w:tcPr>
            <w:tcW w:w="3288" w:type="dxa"/>
            <w:tcBorders>
              <w:top w:val="single" w:color="4472C4" w:sz="4" w:space="0"/>
              <w:left w:val="nil"/>
              <w:bottom w:val="nil"/>
              <w:right w:val="single" w:color="4472C4" w:sz="4" w:space="0"/>
            </w:tcBorders>
            <w:shd w:val="clear" w:color="auto" w:fill="auto"/>
            <w:vAlign w:val="bottom"/>
            <w:hideMark/>
          </w:tcPr>
          <w:p w:rsidRPr="00E50232" w:rsidR="00E50232" w:rsidP="00E50232" w:rsidRDefault="00E50232" w14:paraId="25269E72"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All 14 governorates</w:t>
            </w:r>
          </w:p>
        </w:tc>
      </w:tr>
      <w:tr w:rsidRPr="00E50232" w:rsidR="00E50232" w:rsidTr="00700131" w14:paraId="42C1D6E4" w14:textId="77777777">
        <w:trPr>
          <w:trHeight w:val="212"/>
          <w:jc w:val="center"/>
        </w:trPr>
        <w:tc>
          <w:tcPr>
            <w:tcW w:w="2440" w:type="dxa"/>
            <w:tcBorders>
              <w:top w:val="single" w:color="4472C4" w:sz="4" w:space="0"/>
              <w:left w:val="single" w:color="4472C4" w:sz="4" w:space="0"/>
              <w:bottom w:val="nil"/>
              <w:right w:val="nil"/>
            </w:tcBorders>
            <w:shd w:val="clear" w:color="auto" w:fill="auto"/>
            <w:vAlign w:val="center"/>
            <w:hideMark/>
          </w:tcPr>
          <w:p w:rsidRPr="00E50232" w:rsidR="00E50232" w:rsidP="00E50232" w:rsidRDefault="00E50232" w14:paraId="719A27A2"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United Nations Children's Fund</w:t>
            </w:r>
          </w:p>
        </w:tc>
        <w:tc>
          <w:tcPr>
            <w:tcW w:w="1062" w:type="dxa"/>
            <w:tcBorders>
              <w:top w:val="single" w:color="4472C4" w:sz="4" w:space="0"/>
              <w:left w:val="nil"/>
              <w:bottom w:val="nil"/>
              <w:right w:val="nil"/>
            </w:tcBorders>
            <w:shd w:val="clear" w:color="auto" w:fill="auto"/>
            <w:noWrap/>
            <w:vAlign w:val="bottom"/>
            <w:hideMark/>
          </w:tcPr>
          <w:p w:rsidRPr="00E50232" w:rsidR="00E50232" w:rsidP="00E50232" w:rsidRDefault="00E50232" w14:paraId="41EF70B5"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                15,453,099 </w:t>
            </w:r>
          </w:p>
        </w:tc>
        <w:tc>
          <w:tcPr>
            <w:tcW w:w="100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19C3972A"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5%</w:t>
            </w:r>
          </w:p>
        </w:tc>
        <w:tc>
          <w:tcPr>
            <w:tcW w:w="1064" w:type="dxa"/>
            <w:tcBorders>
              <w:top w:val="single" w:color="4472C4" w:sz="4" w:space="0"/>
              <w:left w:val="nil"/>
              <w:bottom w:val="nil"/>
              <w:right w:val="nil"/>
            </w:tcBorders>
            <w:shd w:val="clear" w:color="auto" w:fill="auto"/>
            <w:noWrap/>
            <w:vAlign w:val="bottom"/>
            <w:hideMark/>
          </w:tcPr>
          <w:p w:rsidRPr="00E50232" w:rsidR="00E50232" w:rsidP="00E50232" w:rsidRDefault="00E50232" w14:paraId="7F8ADDB4" w14:textId="77777777">
            <w:pPr>
              <w:spacing w:after="0" w:line="240" w:lineRule="auto"/>
              <w:jc w:val="right"/>
              <w:rPr>
                <w:rFonts w:ascii="Calibri" w:hAnsi="Calibri" w:eastAsia="Times New Roman" w:cs="Times New Roman"/>
                <w:b/>
                <w:bCs/>
                <w:color w:val="000000"/>
                <w:sz w:val="18"/>
                <w:szCs w:val="18"/>
                <w:lang w:eastAsia="zh-CN"/>
              </w:rPr>
            </w:pPr>
            <w:r w:rsidRPr="00E50232">
              <w:rPr>
                <w:rFonts w:ascii="Calibri" w:hAnsi="Calibri" w:eastAsia="Times New Roman" w:cs="Times New Roman"/>
                <w:b/>
                <w:bCs/>
                <w:color w:val="000000"/>
                <w:sz w:val="18"/>
                <w:szCs w:val="18"/>
                <w:lang w:eastAsia="zh-CN"/>
              </w:rPr>
              <w:t xml:space="preserve">                28,187,175 </w:t>
            </w:r>
          </w:p>
        </w:tc>
        <w:tc>
          <w:tcPr>
            <w:tcW w:w="78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0D682C1E"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82%</w:t>
            </w:r>
          </w:p>
        </w:tc>
        <w:tc>
          <w:tcPr>
            <w:tcW w:w="3288" w:type="dxa"/>
            <w:tcBorders>
              <w:top w:val="single" w:color="4472C4" w:sz="4" w:space="0"/>
              <w:left w:val="nil"/>
              <w:bottom w:val="nil"/>
              <w:right w:val="single" w:color="4472C4" w:sz="4" w:space="0"/>
            </w:tcBorders>
            <w:shd w:val="clear" w:color="auto" w:fill="auto"/>
            <w:vAlign w:val="bottom"/>
            <w:hideMark/>
          </w:tcPr>
          <w:p w:rsidRPr="00E50232" w:rsidR="00E50232" w:rsidP="00E50232" w:rsidRDefault="00E50232" w14:paraId="707139C3"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All 14 governorates</w:t>
            </w:r>
          </w:p>
        </w:tc>
      </w:tr>
      <w:tr w:rsidRPr="00E50232" w:rsidR="00E50232" w:rsidTr="00700131" w14:paraId="510EC040" w14:textId="77777777">
        <w:trPr>
          <w:trHeight w:val="549"/>
          <w:jc w:val="center"/>
        </w:trPr>
        <w:tc>
          <w:tcPr>
            <w:tcW w:w="2440" w:type="dxa"/>
            <w:tcBorders>
              <w:top w:val="single" w:color="4472C4" w:sz="4" w:space="0"/>
              <w:left w:val="single" w:color="4472C4" w:sz="4" w:space="0"/>
              <w:bottom w:val="nil"/>
              <w:right w:val="nil"/>
            </w:tcBorders>
            <w:shd w:val="clear" w:color="auto" w:fill="auto"/>
            <w:vAlign w:val="center"/>
            <w:hideMark/>
          </w:tcPr>
          <w:p w:rsidRPr="00E50232" w:rsidR="00E50232" w:rsidP="00E50232" w:rsidRDefault="00E50232" w14:paraId="215DB5C8"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United Nations High Commissioner for Refugees</w:t>
            </w:r>
          </w:p>
        </w:tc>
        <w:tc>
          <w:tcPr>
            <w:tcW w:w="1062" w:type="dxa"/>
            <w:tcBorders>
              <w:top w:val="single" w:color="4472C4" w:sz="4" w:space="0"/>
              <w:left w:val="nil"/>
              <w:bottom w:val="nil"/>
              <w:right w:val="nil"/>
            </w:tcBorders>
            <w:shd w:val="clear" w:color="auto" w:fill="auto"/>
            <w:noWrap/>
            <w:vAlign w:val="bottom"/>
            <w:hideMark/>
          </w:tcPr>
          <w:p w:rsidRPr="00E50232" w:rsidR="00E50232" w:rsidP="00E50232" w:rsidRDefault="00E50232" w14:paraId="2313820A"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                15,392,412 </w:t>
            </w:r>
          </w:p>
        </w:tc>
        <w:tc>
          <w:tcPr>
            <w:tcW w:w="100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3E707EF1"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0%</w:t>
            </w:r>
          </w:p>
        </w:tc>
        <w:tc>
          <w:tcPr>
            <w:tcW w:w="1064" w:type="dxa"/>
            <w:tcBorders>
              <w:top w:val="single" w:color="4472C4" w:sz="4" w:space="0"/>
              <w:left w:val="nil"/>
              <w:bottom w:val="nil"/>
              <w:right w:val="nil"/>
            </w:tcBorders>
            <w:shd w:val="clear" w:color="auto" w:fill="auto"/>
            <w:noWrap/>
            <w:vAlign w:val="bottom"/>
            <w:hideMark/>
          </w:tcPr>
          <w:p w:rsidRPr="00E50232" w:rsidR="00E50232" w:rsidP="00E50232" w:rsidRDefault="00E50232" w14:paraId="7CC2BE10" w14:textId="77777777">
            <w:pPr>
              <w:spacing w:after="0" w:line="240" w:lineRule="auto"/>
              <w:jc w:val="right"/>
              <w:rPr>
                <w:rFonts w:ascii="Calibri" w:hAnsi="Calibri" w:eastAsia="Times New Roman" w:cs="Times New Roman"/>
                <w:b/>
                <w:bCs/>
                <w:color w:val="000000"/>
                <w:sz w:val="18"/>
                <w:szCs w:val="18"/>
                <w:lang w:eastAsia="zh-CN"/>
              </w:rPr>
            </w:pPr>
            <w:r w:rsidRPr="00E50232">
              <w:rPr>
                <w:rFonts w:ascii="Calibri" w:hAnsi="Calibri" w:eastAsia="Times New Roman" w:cs="Times New Roman"/>
                <w:b/>
                <w:bCs/>
                <w:color w:val="000000"/>
                <w:sz w:val="18"/>
                <w:szCs w:val="18"/>
                <w:lang w:eastAsia="zh-CN"/>
              </w:rPr>
              <w:t xml:space="preserve">                27,872,118 </w:t>
            </w:r>
          </w:p>
        </w:tc>
        <w:tc>
          <w:tcPr>
            <w:tcW w:w="78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560255D6"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81%</w:t>
            </w:r>
          </w:p>
        </w:tc>
        <w:tc>
          <w:tcPr>
            <w:tcW w:w="3288" w:type="dxa"/>
            <w:tcBorders>
              <w:top w:val="single" w:color="4472C4" w:sz="4" w:space="0"/>
              <w:left w:val="nil"/>
              <w:bottom w:val="nil"/>
              <w:right w:val="single" w:color="4472C4" w:sz="4" w:space="0"/>
            </w:tcBorders>
            <w:shd w:val="clear" w:color="auto" w:fill="auto"/>
            <w:vAlign w:val="bottom"/>
            <w:hideMark/>
          </w:tcPr>
          <w:p w:rsidRPr="00E50232" w:rsidR="00E50232" w:rsidP="00E50232" w:rsidRDefault="00E50232" w14:paraId="32A3CD7B"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Aleppo; Al-</w:t>
            </w:r>
            <w:proofErr w:type="spellStart"/>
            <w:r w:rsidRPr="00E50232">
              <w:rPr>
                <w:rFonts w:ascii="Calibri" w:hAnsi="Calibri" w:eastAsia="Times New Roman" w:cs="Times New Roman"/>
                <w:color w:val="000000"/>
                <w:sz w:val="18"/>
                <w:szCs w:val="18"/>
                <w:lang w:eastAsia="zh-CN"/>
              </w:rPr>
              <w:t>Hasakeh</w:t>
            </w:r>
            <w:proofErr w:type="spellEnd"/>
            <w:r w:rsidRPr="00E50232">
              <w:rPr>
                <w:rFonts w:ascii="Calibri" w:hAnsi="Calibri" w:eastAsia="Times New Roman" w:cs="Times New Roman"/>
                <w:color w:val="000000"/>
                <w:sz w:val="18"/>
                <w:szCs w:val="18"/>
                <w:lang w:eastAsia="zh-CN"/>
              </w:rPr>
              <w:t xml:space="preserve">; Ar-Raqqa Damascus; </w:t>
            </w:r>
            <w:proofErr w:type="spellStart"/>
            <w:r w:rsidRPr="00E50232">
              <w:rPr>
                <w:rFonts w:ascii="Calibri" w:hAnsi="Calibri" w:eastAsia="Times New Roman" w:cs="Times New Roman"/>
                <w:color w:val="000000"/>
                <w:sz w:val="18"/>
                <w:szCs w:val="18"/>
                <w:lang w:eastAsia="zh-CN"/>
              </w:rPr>
              <w:t>Dar'a</w:t>
            </w:r>
            <w:proofErr w:type="spellEnd"/>
            <w:r w:rsidRPr="00E50232">
              <w:rPr>
                <w:rFonts w:ascii="Calibri" w:hAnsi="Calibri" w:eastAsia="Times New Roman" w:cs="Times New Roman"/>
                <w:color w:val="000000"/>
                <w:sz w:val="18"/>
                <w:szCs w:val="18"/>
                <w:lang w:eastAsia="zh-CN"/>
              </w:rPr>
              <w:t>; Deir-</w:t>
            </w:r>
            <w:proofErr w:type="spellStart"/>
            <w:r w:rsidRPr="00E50232">
              <w:rPr>
                <w:rFonts w:ascii="Calibri" w:hAnsi="Calibri" w:eastAsia="Times New Roman" w:cs="Times New Roman"/>
                <w:color w:val="000000"/>
                <w:sz w:val="18"/>
                <w:szCs w:val="18"/>
                <w:lang w:eastAsia="zh-CN"/>
              </w:rPr>
              <w:t>ez</w:t>
            </w:r>
            <w:proofErr w:type="spellEnd"/>
            <w:r w:rsidRPr="00E50232">
              <w:rPr>
                <w:rFonts w:ascii="Calibri" w:hAnsi="Calibri" w:eastAsia="Times New Roman" w:cs="Times New Roman"/>
                <w:color w:val="000000"/>
                <w:sz w:val="18"/>
                <w:szCs w:val="18"/>
                <w:lang w:eastAsia="zh-CN"/>
              </w:rPr>
              <w:t>-</w:t>
            </w:r>
            <w:proofErr w:type="spellStart"/>
            <w:r w:rsidRPr="00E50232">
              <w:rPr>
                <w:rFonts w:ascii="Calibri" w:hAnsi="Calibri" w:eastAsia="Times New Roman" w:cs="Times New Roman"/>
                <w:color w:val="000000"/>
                <w:sz w:val="18"/>
                <w:szCs w:val="18"/>
                <w:lang w:eastAsia="zh-CN"/>
              </w:rPr>
              <w:t>Zor</w:t>
            </w:r>
            <w:proofErr w:type="spellEnd"/>
            <w:r w:rsidRPr="00E50232">
              <w:rPr>
                <w:rFonts w:ascii="Calibri" w:hAnsi="Calibri" w:eastAsia="Times New Roman" w:cs="Times New Roman"/>
                <w:color w:val="000000"/>
                <w:sz w:val="18"/>
                <w:szCs w:val="18"/>
                <w:lang w:eastAsia="zh-CN"/>
              </w:rPr>
              <w:t xml:space="preserve">; Hama; Homs </w:t>
            </w:r>
            <w:proofErr w:type="spellStart"/>
            <w:r w:rsidRPr="00E50232">
              <w:rPr>
                <w:rFonts w:ascii="Calibri" w:hAnsi="Calibri" w:eastAsia="Times New Roman" w:cs="Times New Roman"/>
                <w:color w:val="000000"/>
                <w:sz w:val="18"/>
                <w:szCs w:val="18"/>
                <w:lang w:eastAsia="zh-CN"/>
              </w:rPr>
              <w:t>Lattakia</w:t>
            </w:r>
            <w:proofErr w:type="spellEnd"/>
            <w:r w:rsidRPr="00E50232">
              <w:rPr>
                <w:rFonts w:ascii="Calibri" w:hAnsi="Calibri" w:eastAsia="Times New Roman" w:cs="Times New Roman"/>
                <w:color w:val="000000"/>
                <w:sz w:val="18"/>
                <w:szCs w:val="18"/>
                <w:lang w:eastAsia="zh-CN"/>
              </w:rPr>
              <w:t>; Quneitra; Rural Damascus; Tartous</w:t>
            </w:r>
          </w:p>
        </w:tc>
      </w:tr>
      <w:tr w:rsidRPr="00E50232" w:rsidR="00E50232" w:rsidTr="00700131" w14:paraId="4AD3EBB4" w14:textId="77777777">
        <w:trPr>
          <w:trHeight w:val="363"/>
          <w:jc w:val="center"/>
        </w:trPr>
        <w:tc>
          <w:tcPr>
            <w:tcW w:w="2440" w:type="dxa"/>
            <w:tcBorders>
              <w:top w:val="single" w:color="4472C4" w:sz="4" w:space="0"/>
              <w:left w:val="single" w:color="4472C4" w:sz="4" w:space="0"/>
              <w:bottom w:val="nil"/>
              <w:right w:val="nil"/>
            </w:tcBorders>
            <w:shd w:val="clear" w:color="auto" w:fill="auto"/>
            <w:vAlign w:val="center"/>
            <w:hideMark/>
          </w:tcPr>
          <w:p w:rsidRPr="00E50232" w:rsidR="00E50232" w:rsidP="00E50232" w:rsidRDefault="00E50232" w14:paraId="3DF2258D"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Rebuild Syria Reconstruction Program</w:t>
            </w:r>
          </w:p>
        </w:tc>
        <w:tc>
          <w:tcPr>
            <w:tcW w:w="1062" w:type="dxa"/>
            <w:tcBorders>
              <w:top w:val="single" w:color="4472C4" w:sz="4" w:space="0"/>
              <w:left w:val="nil"/>
              <w:bottom w:val="nil"/>
              <w:right w:val="nil"/>
            </w:tcBorders>
            <w:shd w:val="clear" w:color="auto" w:fill="auto"/>
            <w:noWrap/>
            <w:vAlign w:val="bottom"/>
            <w:hideMark/>
          </w:tcPr>
          <w:p w:rsidRPr="00E50232" w:rsidR="00E50232" w:rsidP="00E50232" w:rsidRDefault="00E50232" w14:paraId="0D9764F2"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w:t>
            </w:r>
          </w:p>
        </w:tc>
        <w:tc>
          <w:tcPr>
            <w:tcW w:w="1003" w:type="dxa"/>
            <w:tcBorders>
              <w:top w:val="single" w:color="4472C4" w:sz="4" w:space="0"/>
              <w:left w:val="nil"/>
              <w:bottom w:val="nil"/>
              <w:right w:val="nil"/>
            </w:tcBorders>
            <w:shd w:val="clear" w:color="000000" w:fill="FFFFFF"/>
            <w:noWrap/>
            <w:vAlign w:val="bottom"/>
            <w:hideMark/>
          </w:tcPr>
          <w:p w:rsidRPr="00E50232" w:rsidR="00E50232" w:rsidP="00E50232" w:rsidRDefault="00E50232" w14:paraId="04085FC6"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w:t>
            </w:r>
          </w:p>
        </w:tc>
        <w:tc>
          <w:tcPr>
            <w:tcW w:w="1064" w:type="dxa"/>
            <w:tcBorders>
              <w:top w:val="single" w:color="4472C4" w:sz="4" w:space="0"/>
              <w:left w:val="nil"/>
              <w:bottom w:val="nil"/>
              <w:right w:val="nil"/>
            </w:tcBorders>
            <w:shd w:val="clear" w:color="auto" w:fill="auto"/>
            <w:noWrap/>
            <w:vAlign w:val="bottom"/>
            <w:hideMark/>
          </w:tcPr>
          <w:p w:rsidRPr="00E50232" w:rsidR="00E50232" w:rsidP="00E50232" w:rsidRDefault="00E50232" w14:paraId="504EE9D3" w14:textId="77777777">
            <w:pPr>
              <w:spacing w:after="0" w:line="240" w:lineRule="auto"/>
              <w:jc w:val="right"/>
              <w:rPr>
                <w:rFonts w:ascii="Calibri" w:hAnsi="Calibri" w:eastAsia="Times New Roman" w:cs="Times New Roman"/>
                <w:b/>
                <w:bCs/>
                <w:color w:val="000000"/>
                <w:sz w:val="18"/>
                <w:szCs w:val="18"/>
                <w:lang w:eastAsia="zh-CN"/>
              </w:rPr>
            </w:pPr>
            <w:r w:rsidRPr="00E50232">
              <w:rPr>
                <w:rFonts w:ascii="Calibri" w:hAnsi="Calibri" w:eastAsia="Times New Roman" w:cs="Times New Roman"/>
                <w:b/>
                <w:bCs/>
                <w:color w:val="000000"/>
                <w:sz w:val="18"/>
                <w:szCs w:val="18"/>
                <w:lang w:eastAsia="zh-CN"/>
              </w:rPr>
              <w:t xml:space="preserve">                11,709,438 </w:t>
            </w:r>
          </w:p>
        </w:tc>
        <w:tc>
          <w:tcPr>
            <w:tcW w:w="783" w:type="dxa"/>
            <w:tcBorders>
              <w:top w:val="single" w:color="4472C4" w:sz="4" w:space="0"/>
              <w:left w:val="nil"/>
              <w:bottom w:val="nil"/>
              <w:right w:val="nil"/>
            </w:tcBorders>
            <w:shd w:val="clear" w:color="000000" w:fill="FFFFFF"/>
            <w:noWrap/>
            <w:vAlign w:val="bottom"/>
            <w:hideMark/>
          </w:tcPr>
          <w:p w:rsidRPr="00E50232" w:rsidR="00E50232" w:rsidP="00E50232" w:rsidRDefault="00E50232" w14:paraId="7E6D14A5"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w:t>
            </w:r>
          </w:p>
        </w:tc>
        <w:tc>
          <w:tcPr>
            <w:tcW w:w="3288" w:type="dxa"/>
            <w:tcBorders>
              <w:top w:val="single" w:color="4472C4" w:sz="4" w:space="0"/>
              <w:left w:val="nil"/>
              <w:bottom w:val="nil"/>
              <w:right w:val="single" w:color="4472C4" w:sz="4" w:space="0"/>
            </w:tcBorders>
            <w:shd w:val="clear" w:color="auto" w:fill="auto"/>
            <w:vAlign w:val="bottom"/>
            <w:hideMark/>
          </w:tcPr>
          <w:p w:rsidRPr="00E50232" w:rsidR="00E50232" w:rsidP="00E50232" w:rsidRDefault="00E50232" w14:paraId="39BE0BB5"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Aleppo </w:t>
            </w:r>
            <w:proofErr w:type="spellStart"/>
            <w:r w:rsidRPr="00E50232">
              <w:rPr>
                <w:rFonts w:ascii="Calibri" w:hAnsi="Calibri" w:eastAsia="Times New Roman" w:cs="Times New Roman"/>
                <w:color w:val="000000"/>
                <w:sz w:val="18"/>
                <w:szCs w:val="18"/>
                <w:lang w:eastAsia="zh-CN"/>
              </w:rPr>
              <w:t>Ar-</w:t>
            </w:r>
            <w:proofErr w:type="gramStart"/>
            <w:r w:rsidRPr="00E50232">
              <w:rPr>
                <w:rFonts w:ascii="Calibri" w:hAnsi="Calibri" w:eastAsia="Times New Roman" w:cs="Times New Roman"/>
                <w:color w:val="000000"/>
                <w:sz w:val="18"/>
                <w:szCs w:val="18"/>
                <w:lang w:eastAsia="zh-CN"/>
              </w:rPr>
              <w:t>Raqqa;As</w:t>
            </w:r>
            <w:proofErr w:type="gramEnd"/>
            <w:r w:rsidRPr="00E50232">
              <w:rPr>
                <w:rFonts w:ascii="Calibri" w:hAnsi="Calibri" w:eastAsia="Times New Roman" w:cs="Times New Roman"/>
                <w:color w:val="000000"/>
                <w:sz w:val="18"/>
                <w:szCs w:val="18"/>
                <w:lang w:eastAsia="zh-CN"/>
              </w:rPr>
              <w:t>-SweidaDar'a;Deir-ez-Zor;Hama;HomsLattakia;Tartous</w:t>
            </w:r>
            <w:proofErr w:type="spellEnd"/>
          </w:p>
        </w:tc>
      </w:tr>
      <w:tr w:rsidRPr="00E50232" w:rsidR="00E50232" w:rsidTr="00700131" w14:paraId="1C824B1A" w14:textId="77777777">
        <w:trPr>
          <w:trHeight w:val="212"/>
          <w:jc w:val="center"/>
        </w:trPr>
        <w:tc>
          <w:tcPr>
            <w:tcW w:w="2440" w:type="dxa"/>
            <w:tcBorders>
              <w:top w:val="single" w:color="4472C4" w:sz="4" w:space="0"/>
              <w:left w:val="single" w:color="4472C4" w:sz="4" w:space="0"/>
              <w:bottom w:val="nil"/>
              <w:right w:val="nil"/>
            </w:tcBorders>
            <w:shd w:val="clear" w:color="auto" w:fill="auto"/>
            <w:vAlign w:val="center"/>
            <w:hideMark/>
          </w:tcPr>
          <w:p w:rsidRPr="00E50232" w:rsidR="00E50232" w:rsidP="00E50232" w:rsidRDefault="00E50232" w14:paraId="3F064723"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NGOs (details not yet provided)</w:t>
            </w:r>
          </w:p>
        </w:tc>
        <w:tc>
          <w:tcPr>
            <w:tcW w:w="1062" w:type="dxa"/>
            <w:tcBorders>
              <w:top w:val="single" w:color="4472C4" w:sz="4" w:space="0"/>
              <w:left w:val="nil"/>
              <w:bottom w:val="nil"/>
              <w:right w:val="nil"/>
            </w:tcBorders>
            <w:shd w:val="clear" w:color="auto" w:fill="auto"/>
            <w:noWrap/>
            <w:vAlign w:val="bottom"/>
            <w:hideMark/>
          </w:tcPr>
          <w:p w:rsidRPr="00E50232" w:rsidR="00E50232" w:rsidP="00E50232" w:rsidRDefault="00E50232" w14:paraId="6EE3CF05"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                   3,454,067 </w:t>
            </w:r>
          </w:p>
        </w:tc>
        <w:tc>
          <w:tcPr>
            <w:tcW w:w="100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3489F3B2"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0%</w:t>
            </w:r>
          </w:p>
        </w:tc>
        <w:tc>
          <w:tcPr>
            <w:tcW w:w="1064" w:type="dxa"/>
            <w:tcBorders>
              <w:top w:val="single" w:color="4472C4" w:sz="4" w:space="0"/>
              <w:left w:val="nil"/>
              <w:bottom w:val="nil"/>
              <w:right w:val="nil"/>
            </w:tcBorders>
            <w:shd w:val="clear" w:color="auto" w:fill="auto"/>
            <w:noWrap/>
            <w:vAlign w:val="bottom"/>
            <w:hideMark/>
          </w:tcPr>
          <w:p w:rsidRPr="00E50232" w:rsidR="00E50232" w:rsidP="00E50232" w:rsidRDefault="00E50232" w14:paraId="2B56B753" w14:textId="77777777">
            <w:pPr>
              <w:spacing w:after="0" w:line="240" w:lineRule="auto"/>
              <w:jc w:val="right"/>
              <w:rPr>
                <w:rFonts w:ascii="Calibri" w:hAnsi="Calibri" w:eastAsia="Times New Roman" w:cs="Times New Roman"/>
                <w:b/>
                <w:bCs/>
                <w:color w:val="000000"/>
                <w:sz w:val="18"/>
                <w:szCs w:val="18"/>
                <w:lang w:eastAsia="zh-CN"/>
              </w:rPr>
            </w:pPr>
            <w:r w:rsidRPr="00E50232">
              <w:rPr>
                <w:rFonts w:ascii="Calibri" w:hAnsi="Calibri" w:eastAsia="Times New Roman" w:cs="Times New Roman"/>
                <w:b/>
                <w:bCs/>
                <w:color w:val="000000"/>
                <w:sz w:val="18"/>
                <w:szCs w:val="18"/>
                <w:lang w:eastAsia="zh-CN"/>
              </w:rPr>
              <w:t xml:space="preserve">                10,241,059 </w:t>
            </w:r>
          </w:p>
        </w:tc>
        <w:tc>
          <w:tcPr>
            <w:tcW w:w="78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38C3C5D1"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196%</w:t>
            </w:r>
          </w:p>
        </w:tc>
        <w:tc>
          <w:tcPr>
            <w:tcW w:w="3288" w:type="dxa"/>
            <w:tcBorders>
              <w:top w:val="single" w:color="4472C4" w:sz="4" w:space="0"/>
              <w:left w:val="nil"/>
              <w:bottom w:val="nil"/>
              <w:right w:val="single" w:color="4472C4" w:sz="4" w:space="0"/>
            </w:tcBorders>
            <w:shd w:val="clear" w:color="auto" w:fill="auto"/>
            <w:vAlign w:val="bottom"/>
            <w:hideMark/>
          </w:tcPr>
          <w:p w:rsidRPr="00E50232" w:rsidR="00E50232" w:rsidP="00E50232" w:rsidRDefault="00E50232" w14:paraId="4988B486"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50232">
              <w:rPr>
                <w:rFonts w:ascii="Calibri" w:hAnsi="Calibri" w:eastAsia="Times New Roman" w:cs="Times New Roman"/>
                <w:color w:val="000000"/>
                <w:sz w:val="18"/>
                <w:szCs w:val="18"/>
                <w:lang w:eastAsia="zh-CN"/>
              </w:rPr>
              <w:t>Aleppo;Al</w:t>
            </w:r>
            <w:proofErr w:type="gramEnd"/>
            <w:r w:rsidRPr="00E50232">
              <w:rPr>
                <w:rFonts w:ascii="Calibri" w:hAnsi="Calibri" w:eastAsia="Times New Roman" w:cs="Times New Roman"/>
                <w:color w:val="000000"/>
                <w:sz w:val="18"/>
                <w:szCs w:val="18"/>
                <w:lang w:eastAsia="zh-CN"/>
              </w:rPr>
              <w:t>-Hasakeh;Ar-Raqqa;Dar'a;Deir-ez-Zor;Idleb</w:t>
            </w:r>
            <w:proofErr w:type="spellEnd"/>
          </w:p>
        </w:tc>
      </w:tr>
      <w:tr w:rsidRPr="00E50232" w:rsidR="00E50232" w:rsidTr="00700131" w14:paraId="73D46E21" w14:textId="77777777">
        <w:trPr>
          <w:trHeight w:val="354"/>
          <w:jc w:val="center"/>
        </w:trPr>
        <w:tc>
          <w:tcPr>
            <w:tcW w:w="2440" w:type="dxa"/>
            <w:tcBorders>
              <w:top w:val="single" w:color="4472C4" w:sz="4" w:space="0"/>
              <w:left w:val="single" w:color="4472C4" w:sz="4" w:space="0"/>
              <w:bottom w:val="nil"/>
              <w:right w:val="nil"/>
            </w:tcBorders>
            <w:shd w:val="clear" w:color="auto" w:fill="auto"/>
            <w:vAlign w:val="center"/>
            <w:hideMark/>
          </w:tcPr>
          <w:p w:rsidRPr="00E50232" w:rsidR="00E50232" w:rsidP="00E50232" w:rsidRDefault="00E50232" w14:paraId="4D87F6CA"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Agency for Technical Cooperation and Development</w:t>
            </w:r>
          </w:p>
        </w:tc>
        <w:tc>
          <w:tcPr>
            <w:tcW w:w="1062" w:type="dxa"/>
            <w:tcBorders>
              <w:top w:val="single" w:color="4472C4" w:sz="4" w:space="0"/>
              <w:left w:val="nil"/>
              <w:bottom w:val="nil"/>
              <w:right w:val="nil"/>
            </w:tcBorders>
            <w:shd w:val="clear" w:color="auto" w:fill="auto"/>
            <w:noWrap/>
            <w:vAlign w:val="bottom"/>
            <w:hideMark/>
          </w:tcPr>
          <w:p w:rsidRPr="00E50232" w:rsidR="00E50232" w:rsidP="00E50232" w:rsidRDefault="00E50232" w14:paraId="7413951F"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                   2,832,000 </w:t>
            </w:r>
          </w:p>
        </w:tc>
        <w:tc>
          <w:tcPr>
            <w:tcW w:w="100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2E4CBC20"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0%</w:t>
            </w:r>
          </w:p>
        </w:tc>
        <w:tc>
          <w:tcPr>
            <w:tcW w:w="1064" w:type="dxa"/>
            <w:tcBorders>
              <w:top w:val="single" w:color="4472C4" w:sz="4" w:space="0"/>
              <w:left w:val="nil"/>
              <w:bottom w:val="nil"/>
              <w:right w:val="nil"/>
            </w:tcBorders>
            <w:shd w:val="clear" w:color="auto" w:fill="auto"/>
            <w:noWrap/>
            <w:vAlign w:val="bottom"/>
            <w:hideMark/>
          </w:tcPr>
          <w:p w:rsidRPr="00E50232" w:rsidR="00E50232" w:rsidP="00E50232" w:rsidRDefault="00E50232" w14:paraId="50D9E6D3" w14:textId="77777777">
            <w:pPr>
              <w:spacing w:after="0" w:line="240" w:lineRule="auto"/>
              <w:jc w:val="right"/>
              <w:rPr>
                <w:rFonts w:ascii="Calibri" w:hAnsi="Calibri" w:eastAsia="Times New Roman" w:cs="Times New Roman"/>
                <w:b/>
                <w:bCs/>
                <w:color w:val="000000"/>
                <w:sz w:val="18"/>
                <w:szCs w:val="18"/>
                <w:lang w:eastAsia="zh-CN"/>
              </w:rPr>
            </w:pPr>
            <w:r w:rsidRPr="00E50232">
              <w:rPr>
                <w:rFonts w:ascii="Calibri" w:hAnsi="Calibri" w:eastAsia="Times New Roman" w:cs="Times New Roman"/>
                <w:b/>
                <w:bCs/>
                <w:color w:val="000000"/>
                <w:sz w:val="18"/>
                <w:szCs w:val="18"/>
                <w:lang w:eastAsia="zh-CN"/>
              </w:rPr>
              <w:t xml:space="preserve">                   7,578,723 </w:t>
            </w:r>
          </w:p>
        </w:tc>
        <w:tc>
          <w:tcPr>
            <w:tcW w:w="78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52790644"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168%</w:t>
            </w:r>
          </w:p>
        </w:tc>
        <w:tc>
          <w:tcPr>
            <w:tcW w:w="3288" w:type="dxa"/>
            <w:tcBorders>
              <w:top w:val="single" w:color="4472C4" w:sz="4" w:space="0"/>
              <w:left w:val="nil"/>
              <w:bottom w:val="nil"/>
              <w:right w:val="single" w:color="4472C4" w:sz="4" w:space="0"/>
            </w:tcBorders>
            <w:shd w:val="clear" w:color="auto" w:fill="auto"/>
            <w:vAlign w:val="bottom"/>
            <w:hideMark/>
          </w:tcPr>
          <w:p w:rsidRPr="00E50232" w:rsidR="00E50232" w:rsidP="00E50232" w:rsidRDefault="00E50232" w14:paraId="07F241D6"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50232">
              <w:rPr>
                <w:rFonts w:ascii="Calibri" w:hAnsi="Calibri" w:eastAsia="Times New Roman" w:cs="Times New Roman"/>
                <w:color w:val="000000"/>
                <w:sz w:val="18"/>
                <w:szCs w:val="18"/>
                <w:lang w:eastAsia="zh-CN"/>
              </w:rPr>
              <w:t>Aleppo;Al</w:t>
            </w:r>
            <w:proofErr w:type="gramEnd"/>
            <w:r w:rsidRPr="00E50232">
              <w:rPr>
                <w:rFonts w:ascii="Calibri" w:hAnsi="Calibri" w:eastAsia="Times New Roman" w:cs="Times New Roman"/>
                <w:color w:val="000000"/>
                <w:sz w:val="18"/>
                <w:szCs w:val="18"/>
                <w:lang w:eastAsia="zh-CN"/>
              </w:rPr>
              <w:t>-Hasakeh;Ar-RaqqaDeir-ez-Zor;Idleb</w:t>
            </w:r>
            <w:proofErr w:type="spellEnd"/>
          </w:p>
        </w:tc>
      </w:tr>
      <w:tr w:rsidRPr="00E50232" w:rsidR="00E50232" w:rsidTr="00700131" w14:paraId="5FCE2DAE" w14:textId="77777777">
        <w:trPr>
          <w:trHeight w:val="212"/>
          <w:jc w:val="center"/>
        </w:trPr>
        <w:tc>
          <w:tcPr>
            <w:tcW w:w="2440" w:type="dxa"/>
            <w:tcBorders>
              <w:top w:val="single" w:color="4472C4" w:sz="4" w:space="0"/>
              <w:left w:val="single" w:color="4472C4" w:sz="4" w:space="0"/>
              <w:bottom w:val="nil"/>
              <w:right w:val="nil"/>
            </w:tcBorders>
            <w:shd w:val="clear" w:color="auto" w:fill="auto"/>
            <w:vAlign w:val="center"/>
            <w:hideMark/>
          </w:tcPr>
          <w:p w:rsidRPr="00E50232" w:rsidR="00E50232" w:rsidP="00E50232" w:rsidRDefault="00E50232" w14:paraId="3791DB74"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OXFAM GB</w:t>
            </w:r>
          </w:p>
        </w:tc>
        <w:tc>
          <w:tcPr>
            <w:tcW w:w="1062" w:type="dxa"/>
            <w:tcBorders>
              <w:top w:val="single" w:color="4472C4" w:sz="4" w:space="0"/>
              <w:left w:val="nil"/>
              <w:bottom w:val="nil"/>
              <w:right w:val="nil"/>
            </w:tcBorders>
            <w:shd w:val="clear" w:color="auto" w:fill="auto"/>
            <w:noWrap/>
            <w:vAlign w:val="bottom"/>
            <w:hideMark/>
          </w:tcPr>
          <w:p w:rsidRPr="00E50232" w:rsidR="00E50232" w:rsidP="00E50232" w:rsidRDefault="00E50232" w14:paraId="719CC788"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                   1,092,362 </w:t>
            </w:r>
          </w:p>
        </w:tc>
        <w:tc>
          <w:tcPr>
            <w:tcW w:w="100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269F96CE"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0%</w:t>
            </w:r>
          </w:p>
        </w:tc>
        <w:tc>
          <w:tcPr>
            <w:tcW w:w="1064" w:type="dxa"/>
            <w:tcBorders>
              <w:top w:val="single" w:color="4472C4" w:sz="4" w:space="0"/>
              <w:left w:val="nil"/>
              <w:bottom w:val="nil"/>
              <w:right w:val="nil"/>
            </w:tcBorders>
            <w:shd w:val="clear" w:color="auto" w:fill="auto"/>
            <w:noWrap/>
            <w:vAlign w:val="bottom"/>
            <w:hideMark/>
          </w:tcPr>
          <w:p w:rsidRPr="00E50232" w:rsidR="00E50232" w:rsidP="00E50232" w:rsidRDefault="00E50232" w14:paraId="536933FA" w14:textId="77777777">
            <w:pPr>
              <w:spacing w:after="0" w:line="240" w:lineRule="auto"/>
              <w:jc w:val="right"/>
              <w:rPr>
                <w:rFonts w:ascii="Calibri" w:hAnsi="Calibri" w:eastAsia="Times New Roman" w:cs="Times New Roman"/>
                <w:b/>
                <w:bCs/>
                <w:color w:val="000000"/>
                <w:sz w:val="18"/>
                <w:szCs w:val="18"/>
                <w:lang w:eastAsia="zh-CN"/>
              </w:rPr>
            </w:pPr>
            <w:r w:rsidRPr="00E50232">
              <w:rPr>
                <w:rFonts w:ascii="Calibri" w:hAnsi="Calibri" w:eastAsia="Times New Roman" w:cs="Times New Roman"/>
                <w:b/>
                <w:bCs/>
                <w:color w:val="000000"/>
                <w:sz w:val="18"/>
                <w:szCs w:val="18"/>
                <w:lang w:eastAsia="zh-CN"/>
              </w:rPr>
              <w:t xml:space="preserve">                   6,253,260 </w:t>
            </w:r>
          </w:p>
        </w:tc>
        <w:tc>
          <w:tcPr>
            <w:tcW w:w="78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05FBE12E"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472%</w:t>
            </w:r>
          </w:p>
        </w:tc>
        <w:tc>
          <w:tcPr>
            <w:tcW w:w="3288" w:type="dxa"/>
            <w:tcBorders>
              <w:top w:val="single" w:color="4472C4" w:sz="4" w:space="0"/>
              <w:left w:val="nil"/>
              <w:bottom w:val="nil"/>
              <w:right w:val="single" w:color="4472C4" w:sz="4" w:space="0"/>
            </w:tcBorders>
            <w:shd w:val="clear" w:color="auto" w:fill="auto"/>
            <w:vAlign w:val="bottom"/>
            <w:hideMark/>
          </w:tcPr>
          <w:p w:rsidRPr="00E50232" w:rsidR="00E50232" w:rsidP="00E50232" w:rsidRDefault="00E50232" w14:paraId="2AFA4FA5" w14:textId="77777777">
            <w:pPr>
              <w:spacing w:after="0" w:line="240" w:lineRule="auto"/>
              <w:rPr>
                <w:rFonts w:ascii="Calibri" w:hAnsi="Calibri" w:eastAsia="Times New Roman" w:cs="Times New Roman"/>
                <w:color w:val="000000"/>
                <w:sz w:val="18"/>
                <w:szCs w:val="18"/>
                <w:lang w:eastAsia="zh-CN"/>
              </w:rPr>
            </w:pPr>
            <w:proofErr w:type="spellStart"/>
            <w:r w:rsidRPr="00E50232">
              <w:rPr>
                <w:rFonts w:ascii="Calibri" w:hAnsi="Calibri" w:eastAsia="Times New Roman" w:cs="Times New Roman"/>
                <w:color w:val="000000"/>
                <w:sz w:val="18"/>
                <w:szCs w:val="18"/>
                <w:lang w:eastAsia="zh-CN"/>
              </w:rPr>
              <w:t>AleppoDeir-ez-ZorRural</w:t>
            </w:r>
            <w:proofErr w:type="spellEnd"/>
            <w:r w:rsidRPr="00E50232">
              <w:rPr>
                <w:rFonts w:ascii="Calibri" w:hAnsi="Calibri" w:eastAsia="Times New Roman" w:cs="Times New Roman"/>
                <w:color w:val="000000"/>
                <w:sz w:val="18"/>
                <w:szCs w:val="18"/>
                <w:lang w:eastAsia="zh-CN"/>
              </w:rPr>
              <w:t xml:space="preserve"> Damascus;</w:t>
            </w:r>
          </w:p>
        </w:tc>
      </w:tr>
      <w:tr w:rsidRPr="00E50232" w:rsidR="00E50232" w:rsidTr="00700131" w14:paraId="10306A93" w14:textId="77777777">
        <w:trPr>
          <w:trHeight w:val="212"/>
          <w:jc w:val="center"/>
        </w:trPr>
        <w:tc>
          <w:tcPr>
            <w:tcW w:w="2440" w:type="dxa"/>
            <w:tcBorders>
              <w:top w:val="single" w:color="4472C4" w:sz="4" w:space="0"/>
              <w:left w:val="single" w:color="4472C4" w:sz="4" w:space="0"/>
              <w:bottom w:val="nil"/>
              <w:right w:val="nil"/>
            </w:tcBorders>
            <w:shd w:val="clear" w:color="auto" w:fill="auto"/>
            <w:vAlign w:val="center"/>
            <w:hideMark/>
          </w:tcPr>
          <w:p w:rsidRPr="00E50232" w:rsidR="00E50232" w:rsidP="00E50232" w:rsidRDefault="00E50232" w14:paraId="03BB43A8"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Mercy Corps</w:t>
            </w:r>
          </w:p>
        </w:tc>
        <w:tc>
          <w:tcPr>
            <w:tcW w:w="1062" w:type="dxa"/>
            <w:tcBorders>
              <w:top w:val="single" w:color="4472C4" w:sz="4" w:space="0"/>
              <w:left w:val="nil"/>
              <w:bottom w:val="nil"/>
              <w:right w:val="nil"/>
            </w:tcBorders>
            <w:shd w:val="clear" w:color="auto" w:fill="auto"/>
            <w:noWrap/>
            <w:vAlign w:val="bottom"/>
            <w:hideMark/>
          </w:tcPr>
          <w:p w:rsidRPr="00E50232" w:rsidR="00E50232" w:rsidP="00E50232" w:rsidRDefault="00E50232" w14:paraId="421F3688"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                   7,053,254 </w:t>
            </w:r>
          </w:p>
        </w:tc>
        <w:tc>
          <w:tcPr>
            <w:tcW w:w="100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427BE994"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0%</w:t>
            </w:r>
          </w:p>
        </w:tc>
        <w:tc>
          <w:tcPr>
            <w:tcW w:w="1064" w:type="dxa"/>
            <w:tcBorders>
              <w:top w:val="single" w:color="4472C4" w:sz="4" w:space="0"/>
              <w:left w:val="nil"/>
              <w:bottom w:val="nil"/>
              <w:right w:val="nil"/>
            </w:tcBorders>
            <w:shd w:val="clear" w:color="auto" w:fill="auto"/>
            <w:noWrap/>
            <w:vAlign w:val="bottom"/>
            <w:hideMark/>
          </w:tcPr>
          <w:p w:rsidRPr="00E50232" w:rsidR="00E50232" w:rsidP="00E50232" w:rsidRDefault="00E50232" w14:paraId="26BCBB5E" w14:textId="77777777">
            <w:pPr>
              <w:spacing w:after="0" w:line="240" w:lineRule="auto"/>
              <w:jc w:val="right"/>
              <w:rPr>
                <w:rFonts w:ascii="Calibri" w:hAnsi="Calibri" w:eastAsia="Times New Roman" w:cs="Times New Roman"/>
                <w:b/>
                <w:bCs/>
                <w:color w:val="000000"/>
                <w:sz w:val="18"/>
                <w:szCs w:val="18"/>
                <w:lang w:eastAsia="zh-CN"/>
              </w:rPr>
            </w:pPr>
            <w:r w:rsidRPr="00E50232">
              <w:rPr>
                <w:rFonts w:ascii="Calibri" w:hAnsi="Calibri" w:eastAsia="Times New Roman" w:cs="Times New Roman"/>
                <w:b/>
                <w:bCs/>
                <w:color w:val="000000"/>
                <w:sz w:val="18"/>
                <w:szCs w:val="18"/>
                <w:lang w:eastAsia="zh-CN"/>
              </w:rPr>
              <w:t xml:space="preserve">                   5,250,000 </w:t>
            </w:r>
          </w:p>
        </w:tc>
        <w:tc>
          <w:tcPr>
            <w:tcW w:w="783" w:type="dxa"/>
            <w:tcBorders>
              <w:top w:val="single" w:color="4472C4" w:sz="4" w:space="0"/>
              <w:left w:val="nil"/>
              <w:bottom w:val="nil"/>
              <w:right w:val="nil"/>
            </w:tcBorders>
            <w:shd w:val="clear" w:color="000000" w:fill="C6E0B4"/>
            <w:noWrap/>
            <w:vAlign w:val="bottom"/>
            <w:hideMark/>
          </w:tcPr>
          <w:p w:rsidRPr="00E50232" w:rsidR="00E50232" w:rsidP="00E50232" w:rsidRDefault="00E50232" w14:paraId="316CCE81"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-26%</w:t>
            </w:r>
          </w:p>
        </w:tc>
        <w:tc>
          <w:tcPr>
            <w:tcW w:w="3288" w:type="dxa"/>
            <w:tcBorders>
              <w:top w:val="single" w:color="4472C4" w:sz="4" w:space="0"/>
              <w:left w:val="nil"/>
              <w:bottom w:val="nil"/>
              <w:right w:val="single" w:color="4472C4" w:sz="4" w:space="0"/>
            </w:tcBorders>
            <w:shd w:val="clear" w:color="auto" w:fill="auto"/>
            <w:vAlign w:val="bottom"/>
            <w:hideMark/>
          </w:tcPr>
          <w:p w:rsidRPr="00E50232" w:rsidR="00E50232" w:rsidP="00E50232" w:rsidRDefault="00E50232" w14:paraId="363AFE09"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50232">
              <w:rPr>
                <w:rFonts w:ascii="Calibri" w:hAnsi="Calibri" w:eastAsia="Times New Roman" w:cs="Times New Roman"/>
                <w:color w:val="000000"/>
                <w:sz w:val="18"/>
                <w:szCs w:val="18"/>
                <w:lang w:eastAsia="zh-CN"/>
              </w:rPr>
              <w:t>Aleppo;Al</w:t>
            </w:r>
            <w:proofErr w:type="gramEnd"/>
            <w:r w:rsidRPr="00E50232">
              <w:rPr>
                <w:rFonts w:ascii="Calibri" w:hAnsi="Calibri" w:eastAsia="Times New Roman" w:cs="Times New Roman"/>
                <w:color w:val="000000"/>
                <w:sz w:val="18"/>
                <w:szCs w:val="18"/>
                <w:lang w:eastAsia="zh-CN"/>
              </w:rPr>
              <w:t>-Hasakeh;Ar-RaqqaDeir-ez-Zor;Idleb</w:t>
            </w:r>
            <w:proofErr w:type="spellEnd"/>
          </w:p>
        </w:tc>
      </w:tr>
      <w:tr w:rsidRPr="00E50232" w:rsidR="00E50232" w:rsidTr="00700131" w14:paraId="4B68B59F" w14:textId="77777777">
        <w:trPr>
          <w:trHeight w:val="212"/>
          <w:jc w:val="center"/>
        </w:trPr>
        <w:tc>
          <w:tcPr>
            <w:tcW w:w="2440" w:type="dxa"/>
            <w:tcBorders>
              <w:top w:val="single" w:color="4472C4" w:sz="4" w:space="0"/>
              <w:left w:val="single" w:color="4472C4" w:sz="4" w:space="0"/>
              <w:bottom w:val="nil"/>
              <w:right w:val="nil"/>
            </w:tcBorders>
            <w:shd w:val="clear" w:color="auto" w:fill="auto"/>
            <w:vAlign w:val="center"/>
            <w:hideMark/>
          </w:tcPr>
          <w:p w:rsidRPr="00E50232" w:rsidR="00E50232" w:rsidP="00E50232" w:rsidRDefault="00E50232" w14:paraId="2C7551EF"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People in Need</w:t>
            </w:r>
          </w:p>
        </w:tc>
        <w:tc>
          <w:tcPr>
            <w:tcW w:w="1062" w:type="dxa"/>
            <w:tcBorders>
              <w:top w:val="single" w:color="4472C4" w:sz="4" w:space="0"/>
              <w:left w:val="nil"/>
              <w:bottom w:val="nil"/>
              <w:right w:val="nil"/>
            </w:tcBorders>
            <w:shd w:val="clear" w:color="auto" w:fill="auto"/>
            <w:noWrap/>
            <w:vAlign w:val="bottom"/>
            <w:hideMark/>
          </w:tcPr>
          <w:p w:rsidRPr="00E50232" w:rsidR="00E50232" w:rsidP="00E50232" w:rsidRDefault="00E50232" w14:paraId="2BD51112"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                   1,684,498 </w:t>
            </w:r>
          </w:p>
        </w:tc>
        <w:tc>
          <w:tcPr>
            <w:tcW w:w="100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27FCB1D0"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0%</w:t>
            </w:r>
          </w:p>
        </w:tc>
        <w:tc>
          <w:tcPr>
            <w:tcW w:w="1064" w:type="dxa"/>
            <w:tcBorders>
              <w:top w:val="single" w:color="4472C4" w:sz="4" w:space="0"/>
              <w:left w:val="nil"/>
              <w:bottom w:val="nil"/>
              <w:right w:val="nil"/>
            </w:tcBorders>
            <w:shd w:val="clear" w:color="auto" w:fill="auto"/>
            <w:noWrap/>
            <w:vAlign w:val="bottom"/>
            <w:hideMark/>
          </w:tcPr>
          <w:p w:rsidRPr="00E50232" w:rsidR="00E50232" w:rsidP="00E50232" w:rsidRDefault="00E50232" w14:paraId="243E3CF9" w14:textId="77777777">
            <w:pPr>
              <w:spacing w:after="0" w:line="240" w:lineRule="auto"/>
              <w:jc w:val="right"/>
              <w:rPr>
                <w:rFonts w:ascii="Calibri" w:hAnsi="Calibri" w:eastAsia="Times New Roman" w:cs="Times New Roman"/>
                <w:b/>
                <w:bCs/>
                <w:color w:val="000000"/>
                <w:sz w:val="18"/>
                <w:szCs w:val="18"/>
                <w:lang w:eastAsia="zh-CN"/>
              </w:rPr>
            </w:pPr>
            <w:r w:rsidRPr="00E50232">
              <w:rPr>
                <w:rFonts w:ascii="Calibri" w:hAnsi="Calibri" w:eastAsia="Times New Roman" w:cs="Times New Roman"/>
                <w:b/>
                <w:bCs/>
                <w:color w:val="000000"/>
                <w:sz w:val="18"/>
                <w:szCs w:val="18"/>
                <w:lang w:eastAsia="zh-CN"/>
              </w:rPr>
              <w:t xml:space="preserve">                   5,041,400 </w:t>
            </w:r>
          </w:p>
        </w:tc>
        <w:tc>
          <w:tcPr>
            <w:tcW w:w="783" w:type="dxa"/>
            <w:tcBorders>
              <w:top w:val="single" w:color="4472C4" w:sz="4" w:space="0"/>
              <w:left w:val="nil"/>
              <w:bottom w:val="nil"/>
              <w:right w:val="nil"/>
            </w:tcBorders>
            <w:shd w:val="clear" w:color="000000" w:fill="FFCCCC"/>
            <w:noWrap/>
            <w:vAlign w:val="bottom"/>
            <w:hideMark/>
          </w:tcPr>
          <w:p w:rsidRPr="00E50232" w:rsidR="00E50232" w:rsidP="00E50232" w:rsidRDefault="00E50232" w14:paraId="02B5F015"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199%</w:t>
            </w:r>
          </w:p>
        </w:tc>
        <w:tc>
          <w:tcPr>
            <w:tcW w:w="3288" w:type="dxa"/>
            <w:tcBorders>
              <w:top w:val="single" w:color="4472C4" w:sz="4" w:space="0"/>
              <w:left w:val="nil"/>
              <w:bottom w:val="nil"/>
              <w:right w:val="single" w:color="4472C4" w:sz="4" w:space="0"/>
            </w:tcBorders>
            <w:shd w:val="clear" w:color="auto" w:fill="auto"/>
            <w:vAlign w:val="bottom"/>
            <w:hideMark/>
          </w:tcPr>
          <w:p w:rsidRPr="00E50232" w:rsidR="00E50232" w:rsidP="00E50232" w:rsidRDefault="00E50232" w14:paraId="18C7FE05"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50232">
              <w:rPr>
                <w:rFonts w:ascii="Calibri" w:hAnsi="Calibri" w:eastAsia="Times New Roman" w:cs="Times New Roman"/>
                <w:color w:val="000000"/>
                <w:sz w:val="18"/>
                <w:szCs w:val="18"/>
                <w:lang w:eastAsia="zh-CN"/>
              </w:rPr>
              <w:t>Aleppo;Al</w:t>
            </w:r>
            <w:proofErr w:type="gramEnd"/>
            <w:r w:rsidRPr="00E50232">
              <w:rPr>
                <w:rFonts w:ascii="Calibri" w:hAnsi="Calibri" w:eastAsia="Times New Roman" w:cs="Times New Roman"/>
                <w:color w:val="000000"/>
                <w:sz w:val="18"/>
                <w:szCs w:val="18"/>
                <w:lang w:eastAsia="zh-CN"/>
              </w:rPr>
              <w:t>-Hasakeh;Ar-Raqqa</w:t>
            </w:r>
            <w:proofErr w:type="spellEnd"/>
            <w:r w:rsidRPr="00E50232">
              <w:rPr>
                <w:rFonts w:ascii="Calibri" w:hAnsi="Calibri" w:eastAsia="Times New Roman" w:cs="Times New Roman"/>
                <w:color w:val="000000"/>
                <w:sz w:val="18"/>
                <w:szCs w:val="18"/>
                <w:lang w:eastAsia="zh-CN"/>
              </w:rPr>
              <w:t>;</w:t>
            </w:r>
          </w:p>
        </w:tc>
      </w:tr>
      <w:tr w:rsidRPr="00E50232" w:rsidR="00E50232" w:rsidTr="00700131" w14:paraId="33F6E60B" w14:textId="77777777">
        <w:trPr>
          <w:trHeight w:val="212"/>
          <w:jc w:val="center"/>
        </w:trPr>
        <w:tc>
          <w:tcPr>
            <w:tcW w:w="2440" w:type="dxa"/>
            <w:tcBorders>
              <w:top w:val="single" w:color="4472C4" w:sz="4" w:space="0"/>
              <w:left w:val="single" w:color="4472C4" w:sz="4" w:space="0"/>
              <w:bottom w:val="single" w:color="4472C4" w:sz="4" w:space="0"/>
              <w:right w:val="nil"/>
            </w:tcBorders>
            <w:shd w:val="clear" w:color="auto" w:fill="auto"/>
            <w:vAlign w:val="center"/>
            <w:hideMark/>
          </w:tcPr>
          <w:p w:rsidRPr="00E50232" w:rsidR="00E50232" w:rsidP="00E50232" w:rsidRDefault="00E50232" w14:paraId="0B0C8143" w14:textId="77777777">
            <w:pPr>
              <w:spacing w:after="0" w:line="240" w:lineRule="auto"/>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International Organization for Migration</w:t>
            </w:r>
          </w:p>
        </w:tc>
        <w:tc>
          <w:tcPr>
            <w:tcW w:w="1062" w:type="dxa"/>
            <w:tcBorders>
              <w:top w:val="single" w:color="4472C4" w:sz="4" w:space="0"/>
              <w:left w:val="nil"/>
              <w:bottom w:val="single" w:color="4472C4" w:sz="4" w:space="0"/>
              <w:right w:val="nil"/>
            </w:tcBorders>
            <w:shd w:val="clear" w:color="auto" w:fill="auto"/>
            <w:noWrap/>
            <w:vAlign w:val="bottom"/>
            <w:hideMark/>
          </w:tcPr>
          <w:p w:rsidRPr="00E50232" w:rsidR="00E50232" w:rsidP="00E50232" w:rsidRDefault="00E50232" w14:paraId="79C79B69"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 xml:space="preserve">                   5,540,011 </w:t>
            </w:r>
          </w:p>
        </w:tc>
        <w:tc>
          <w:tcPr>
            <w:tcW w:w="1003" w:type="dxa"/>
            <w:tcBorders>
              <w:top w:val="single" w:color="4472C4" w:sz="4" w:space="0"/>
              <w:left w:val="nil"/>
              <w:bottom w:val="single" w:color="4472C4" w:sz="4" w:space="0"/>
              <w:right w:val="nil"/>
            </w:tcBorders>
            <w:shd w:val="clear" w:color="000000" w:fill="FFCCCC"/>
            <w:noWrap/>
            <w:vAlign w:val="bottom"/>
            <w:hideMark/>
          </w:tcPr>
          <w:p w:rsidRPr="00E50232" w:rsidR="00E50232" w:rsidP="00E50232" w:rsidRDefault="00E50232" w14:paraId="79A2148F"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8%</w:t>
            </w:r>
          </w:p>
        </w:tc>
        <w:tc>
          <w:tcPr>
            <w:tcW w:w="1064" w:type="dxa"/>
            <w:tcBorders>
              <w:top w:val="single" w:color="4472C4" w:sz="4" w:space="0"/>
              <w:left w:val="nil"/>
              <w:bottom w:val="single" w:color="4472C4" w:sz="4" w:space="0"/>
              <w:right w:val="nil"/>
            </w:tcBorders>
            <w:shd w:val="clear" w:color="auto" w:fill="auto"/>
            <w:noWrap/>
            <w:vAlign w:val="bottom"/>
            <w:hideMark/>
          </w:tcPr>
          <w:p w:rsidRPr="00E50232" w:rsidR="00E50232" w:rsidP="00E50232" w:rsidRDefault="00E50232" w14:paraId="59FBB73F" w14:textId="77777777">
            <w:pPr>
              <w:spacing w:after="0" w:line="240" w:lineRule="auto"/>
              <w:jc w:val="right"/>
              <w:rPr>
                <w:rFonts w:ascii="Calibri" w:hAnsi="Calibri" w:eastAsia="Times New Roman" w:cs="Times New Roman"/>
                <w:b/>
                <w:bCs/>
                <w:color w:val="000000"/>
                <w:sz w:val="18"/>
                <w:szCs w:val="18"/>
                <w:lang w:eastAsia="zh-CN"/>
              </w:rPr>
            </w:pPr>
            <w:r w:rsidRPr="00E50232">
              <w:rPr>
                <w:rFonts w:ascii="Calibri" w:hAnsi="Calibri" w:eastAsia="Times New Roman" w:cs="Times New Roman"/>
                <w:b/>
                <w:bCs/>
                <w:color w:val="000000"/>
                <w:sz w:val="18"/>
                <w:szCs w:val="18"/>
                <w:lang w:eastAsia="zh-CN"/>
              </w:rPr>
              <w:t xml:space="preserve">                   5,004,086 </w:t>
            </w:r>
          </w:p>
        </w:tc>
        <w:tc>
          <w:tcPr>
            <w:tcW w:w="783" w:type="dxa"/>
            <w:tcBorders>
              <w:top w:val="single" w:color="4472C4" w:sz="4" w:space="0"/>
              <w:left w:val="nil"/>
              <w:bottom w:val="nil"/>
              <w:right w:val="nil"/>
            </w:tcBorders>
            <w:shd w:val="clear" w:color="000000" w:fill="C6E0B4"/>
            <w:noWrap/>
            <w:vAlign w:val="bottom"/>
            <w:hideMark/>
          </w:tcPr>
          <w:p w:rsidRPr="00E50232" w:rsidR="00E50232" w:rsidP="00E50232" w:rsidRDefault="00E50232" w14:paraId="28B1CB1F" w14:textId="77777777">
            <w:pPr>
              <w:spacing w:after="0" w:line="240" w:lineRule="auto"/>
              <w:jc w:val="right"/>
              <w:rPr>
                <w:rFonts w:ascii="Calibri" w:hAnsi="Calibri" w:eastAsia="Times New Roman" w:cs="Times New Roman"/>
                <w:color w:val="000000"/>
                <w:sz w:val="18"/>
                <w:szCs w:val="18"/>
                <w:lang w:eastAsia="zh-CN"/>
              </w:rPr>
            </w:pPr>
            <w:r w:rsidRPr="00E50232">
              <w:rPr>
                <w:rFonts w:ascii="Calibri" w:hAnsi="Calibri" w:eastAsia="Times New Roman" w:cs="Times New Roman"/>
                <w:color w:val="000000"/>
                <w:sz w:val="18"/>
                <w:szCs w:val="18"/>
                <w:lang w:eastAsia="zh-CN"/>
              </w:rPr>
              <w:t>-10%</w:t>
            </w:r>
          </w:p>
        </w:tc>
        <w:tc>
          <w:tcPr>
            <w:tcW w:w="3288" w:type="dxa"/>
            <w:tcBorders>
              <w:top w:val="single" w:color="4472C4" w:sz="4" w:space="0"/>
              <w:left w:val="nil"/>
              <w:bottom w:val="single" w:color="4472C4" w:sz="4" w:space="0"/>
              <w:right w:val="single" w:color="4472C4" w:sz="4" w:space="0"/>
            </w:tcBorders>
            <w:shd w:val="clear" w:color="auto" w:fill="auto"/>
            <w:vAlign w:val="bottom"/>
            <w:hideMark/>
          </w:tcPr>
          <w:p w:rsidRPr="00E50232" w:rsidR="00E50232" w:rsidP="00E50232" w:rsidRDefault="00E50232" w14:paraId="47CA38EE"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50232">
              <w:rPr>
                <w:rFonts w:ascii="Calibri" w:hAnsi="Calibri" w:eastAsia="Times New Roman" w:cs="Times New Roman"/>
                <w:color w:val="000000"/>
                <w:sz w:val="18"/>
                <w:szCs w:val="18"/>
                <w:lang w:eastAsia="zh-CN"/>
              </w:rPr>
              <w:t>Aleppo;Idleb</w:t>
            </w:r>
            <w:proofErr w:type="spellEnd"/>
            <w:proofErr w:type="gramEnd"/>
          </w:p>
        </w:tc>
      </w:tr>
    </w:tbl>
    <w:p w:rsidRPr="00C01174" w:rsidR="00043B02" w:rsidP="00EA1163" w:rsidRDefault="00043B02" w14:paraId="4A9EC636" w14:textId="0CB59D3B">
      <w:pPr>
        <w:spacing w:line="240" w:lineRule="auto"/>
        <w:rPr>
          <w:sz w:val="18"/>
          <w:szCs w:val="18"/>
        </w:rPr>
      </w:pPr>
    </w:p>
    <w:p w:rsidRPr="00E752E8" w:rsidR="00E752E8" w:rsidP="00EA1163" w:rsidRDefault="00FE25CD" w14:paraId="2306E45B" w14:textId="278D8C1A">
      <w:pPr>
        <w:spacing w:line="240" w:lineRule="auto"/>
        <w:rPr>
          <w:b/>
          <w:bCs/>
        </w:rPr>
      </w:pPr>
      <w:r>
        <w:rPr>
          <w:b/>
          <w:bCs/>
        </w:rPr>
        <w:br w:type="page"/>
      </w:r>
    </w:p>
    <w:p w:rsidRPr="005E4B85" w:rsidR="000D004C" w:rsidDel="003865DD" w:rsidP="00EA1163" w:rsidRDefault="002070D5" w14:paraId="7D45C904" w14:textId="57593FCC">
      <w:pPr>
        <w:spacing w:line="240" w:lineRule="auto"/>
        <w:jc w:val="center"/>
        <w:rPr>
          <w:b/>
          <w:bCs/>
          <w:sz w:val="24"/>
          <w:szCs w:val="24"/>
        </w:rPr>
      </w:pPr>
      <w:r>
        <w:rPr>
          <w:b/>
          <w:bCs/>
          <w:sz w:val="24"/>
          <w:szCs w:val="24"/>
        </w:rPr>
        <w:t xml:space="preserve">Protection and </w:t>
      </w:r>
      <w:proofErr w:type="spellStart"/>
      <w:r>
        <w:rPr>
          <w:b/>
          <w:bCs/>
          <w:sz w:val="24"/>
          <w:szCs w:val="24"/>
        </w:rPr>
        <w:t>AoRs</w:t>
      </w:r>
      <w:proofErr w:type="spellEnd"/>
    </w:p>
    <w:p w:rsidRPr="00D368A9" w:rsidR="009067C4" w:rsidDel="003865DD" w:rsidP="00EA1163" w:rsidRDefault="009067C4" w14:paraId="0D0AE296" w14:textId="277A6DBE">
      <w:pPr>
        <w:spacing w:line="240" w:lineRule="auto"/>
        <w:rPr>
          <w:b/>
        </w:rPr>
      </w:pPr>
      <w:r w:rsidRPr="00D368A9">
        <w:rPr>
          <w:b/>
        </w:rPr>
        <w:t xml:space="preserve">Name of </w:t>
      </w:r>
      <w:proofErr w:type="gramStart"/>
      <w:r w:rsidRPr="00D368A9">
        <w:rPr>
          <w:b/>
        </w:rPr>
        <w:t>coordinators:</w:t>
      </w:r>
      <w:r w:rsidRPr="00D368A9" w:rsidR="006A07FD">
        <w:t>,</w:t>
      </w:r>
      <w:proofErr w:type="gramEnd"/>
      <w:r w:rsidRPr="00D368A9" w:rsidR="006A07FD">
        <w:t xml:space="preserve"> Yasin Abbas</w:t>
      </w:r>
      <w:r w:rsidR="006027A6">
        <w:t>/UNHCR</w:t>
      </w:r>
      <w:r w:rsidRPr="00D368A9" w:rsidR="006A07FD">
        <w:t xml:space="preserve">, </w:t>
      </w:r>
      <w:r w:rsidRPr="00D368A9" w:rsidR="001E74F4">
        <w:t>Carmen Monclus Girones</w:t>
      </w:r>
      <w:r w:rsidR="00AE4B10">
        <w:t>/UNICEF</w:t>
      </w:r>
      <w:r w:rsidRPr="00D368A9" w:rsidR="006A07FD">
        <w:t xml:space="preserve"> (Child Protection)</w:t>
      </w:r>
      <w:r w:rsidRPr="00D368A9" w:rsidR="001E74F4">
        <w:t xml:space="preserve">, Francesca </w:t>
      </w:r>
      <w:proofErr w:type="spellStart"/>
      <w:r w:rsidRPr="00D368A9" w:rsidR="001E74F4">
        <w:t>Chiaudani</w:t>
      </w:r>
      <w:proofErr w:type="spellEnd"/>
      <w:r w:rsidR="006D7742">
        <w:t>/UNOPS</w:t>
      </w:r>
      <w:r w:rsidRPr="00D368A9" w:rsidR="006A07FD">
        <w:t xml:space="preserve"> (Mine Action)</w:t>
      </w:r>
      <w:r w:rsidR="002E34E8">
        <w:t>,</w:t>
      </w:r>
      <w:r w:rsidRPr="00D368A9" w:rsidR="006A07FD">
        <w:t xml:space="preserve"> </w:t>
      </w:r>
      <w:r w:rsidR="00C6102A">
        <w:t>Jennifer</w:t>
      </w:r>
      <w:r w:rsidR="00D50B69">
        <w:t xml:space="preserve"> Miquel</w:t>
      </w:r>
      <w:r w:rsidR="002F0C8C">
        <w:t>/</w:t>
      </w:r>
      <w:r w:rsidR="004C3E6E">
        <w:t>UN</w:t>
      </w:r>
      <w:r w:rsidR="00325B90">
        <w:t>FPA</w:t>
      </w:r>
      <w:r w:rsidR="00EC4CC4">
        <w:t xml:space="preserve">(GBV), </w:t>
      </w:r>
      <w:r w:rsidRPr="00D368A9" w:rsidR="002E34E8">
        <w:t>Fulvia Boniardi</w:t>
      </w:r>
      <w:r w:rsidR="002E34E8">
        <w:t>/UNFPA</w:t>
      </w:r>
      <w:r w:rsidRPr="00D368A9" w:rsidR="002E34E8">
        <w:t xml:space="preserve">(GBV) </w:t>
      </w:r>
      <w:r w:rsidRPr="00D368A9" w:rsidR="006A07FD">
        <w:t>and</w:t>
      </w:r>
      <w:r w:rsidRPr="00D368A9" w:rsidR="001E74F4">
        <w:t xml:space="preserve"> </w:t>
      </w:r>
      <w:r w:rsidRPr="00D368A9" w:rsidR="00AB6D1F">
        <w:t>Sameer Saran</w:t>
      </w:r>
      <w:r w:rsidR="009D3E04">
        <w:t>/</w:t>
      </w:r>
      <w:r w:rsidR="006F0FA7">
        <w:t>IRC</w:t>
      </w:r>
      <w:r w:rsidRPr="00D368A9" w:rsidR="00AB6D1F">
        <w:t xml:space="preserve"> </w:t>
      </w:r>
    </w:p>
    <w:p w:rsidR="00003F7A" w:rsidP="00EA1163" w:rsidRDefault="00003F7A" w14:paraId="0FAE98A3" w14:textId="610BA04A">
      <w:pPr>
        <w:spacing w:line="240" w:lineRule="auto"/>
        <w:rPr>
          <w:b/>
          <w:bCs/>
          <w:sz w:val="24"/>
          <w:szCs w:val="24"/>
        </w:rPr>
      </w:pPr>
    </w:p>
    <w:p w:rsidR="00285B49" w:rsidP="007B2D1C" w:rsidRDefault="006A07FD" w14:paraId="27A05663" w14:textId="77777777">
      <w:pPr>
        <w:pStyle w:val="ListParagraph"/>
        <w:ind w:left="0"/>
        <w:rPr>
          <w:b/>
          <w:bCs/>
          <w:color w:val="2F5496" w:themeColor="accent1" w:themeShade="BF"/>
          <w:highlight w:val="yellow"/>
        </w:rPr>
      </w:pPr>
      <w:r w:rsidRPr="006A07FD">
        <w:rPr>
          <w:b/>
          <w:bCs/>
          <w:noProof/>
          <w:color w:val="2F5496" w:themeColor="accent1" w:themeShade="BF"/>
        </w:rPr>
        <mc:AlternateContent>
          <mc:Choice Requires="wps">
            <w:drawing>
              <wp:inline distT="0" distB="0" distL="0" distR="0" wp14:anchorId="04DD00EA" wp14:editId="20989EA7">
                <wp:extent cx="6172200" cy="2333767"/>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33767"/>
                        </a:xfrm>
                        <a:prstGeom prst="rect">
                          <a:avLst/>
                        </a:prstGeom>
                        <a:solidFill>
                          <a:srgbClr val="FFFFFF"/>
                        </a:solidFill>
                        <a:ln w="9525">
                          <a:solidFill>
                            <a:schemeClr val="tx1"/>
                          </a:solidFill>
                          <a:miter lim="800000"/>
                          <a:headEnd/>
                          <a:tailEnd/>
                        </a:ln>
                      </wps:spPr>
                      <wps:txbx>
                        <w:txbxContent>
                          <w:p w:rsidRPr="006A07FD" w:rsidR="00114CAA" w:rsidP="006A07FD" w:rsidRDefault="00213ABA" w14:paraId="61E6ADC1" w14:textId="2266D861">
                            <w:pPr>
                              <w:jc w:val="center"/>
                              <w:rPr>
                                <w:b/>
                                <w:bCs/>
                                <w:sz w:val="24"/>
                                <w:szCs w:val="24"/>
                              </w:rPr>
                            </w:pPr>
                            <w:r>
                              <w:rPr>
                                <w:b/>
                                <w:bCs/>
                                <w:sz w:val="24"/>
                                <w:szCs w:val="24"/>
                                <w:highlight w:val="yellow"/>
                              </w:rPr>
                              <w:t>Possible</w:t>
                            </w:r>
                            <w:r w:rsidRPr="006A07FD" w:rsidR="00114CAA">
                              <w:rPr>
                                <w:b/>
                                <w:bCs/>
                                <w:sz w:val="24"/>
                                <w:szCs w:val="24"/>
                                <w:highlight w:val="yellow"/>
                              </w:rPr>
                              <w:t xml:space="preserve"> points to raise</w:t>
                            </w:r>
                          </w:p>
                          <w:p w:rsidRPr="006A07FD" w:rsidR="00114CAA" w:rsidP="007B2D1C" w:rsidRDefault="00335139" w14:paraId="69A4BC8C" w14:textId="64977A34">
                            <w:pPr>
                              <w:pStyle w:val="ListParagraph"/>
                              <w:numPr>
                                <w:ilvl w:val="0"/>
                                <w:numId w:val="14"/>
                              </w:numPr>
                              <w:spacing w:after="60"/>
                              <w:rPr>
                                <w:b/>
                                <w:bCs/>
                                <w:color w:val="2F5496" w:themeColor="accent1" w:themeShade="BF"/>
                                <w:sz w:val="24"/>
                                <w:szCs w:val="24"/>
                              </w:rPr>
                            </w:pPr>
                            <w:r>
                              <w:rPr>
                                <w:b/>
                                <w:bCs/>
                                <w:color w:val="2F5496" w:themeColor="accent1" w:themeShade="BF"/>
                              </w:rPr>
                              <w:t>T</w:t>
                            </w:r>
                            <w:r w:rsidRPr="006A07FD">
                              <w:rPr>
                                <w:b/>
                                <w:bCs/>
                                <w:color w:val="2F5496" w:themeColor="accent1" w:themeShade="BF"/>
                              </w:rPr>
                              <w:t>he</w:t>
                            </w:r>
                            <w:r w:rsidRPr="006A07FD" w:rsidR="00114CAA">
                              <w:rPr>
                                <w:b/>
                                <w:bCs/>
                                <w:color w:val="2F5496" w:themeColor="accent1" w:themeShade="BF"/>
                              </w:rPr>
                              <w:t xml:space="preserve"> protection sector received limited funding in 2020 (25%). At the same time, you are asking for a 4% increase in </w:t>
                            </w:r>
                            <w:r w:rsidR="007B2D1C">
                              <w:rPr>
                                <w:b/>
                                <w:bCs/>
                                <w:color w:val="2F5496" w:themeColor="accent1" w:themeShade="BF"/>
                              </w:rPr>
                              <w:t>requirements</w:t>
                            </w:r>
                            <w:r w:rsidRPr="006A07FD" w:rsidR="00114CAA">
                              <w:rPr>
                                <w:b/>
                                <w:bCs/>
                                <w:color w:val="2F5496" w:themeColor="accent1" w:themeShade="BF"/>
                              </w:rPr>
                              <w:t xml:space="preserve"> in 2021. </w:t>
                            </w:r>
                          </w:p>
                          <w:p w:rsidRPr="006A07FD" w:rsidR="00114CAA" w:rsidP="007B2D1C" w:rsidRDefault="00114CAA" w14:paraId="5420E143" w14:textId="77777777">
                            <w:pPr>
                              <w:pStyle w:val="ListParagraph"/>
                              <w:numPr>
                                <w:ilvl w:val="0"/>
                                <w:numId w:val="14"/>
                              </w:numPr>
                              <w:spacing w:after="60"/>
                              <w:rPr>
                                <w:b/>
                                <w:bCs/>
                                <w:color w:val="2F5496" w:themeColor="accent1" w:themeShade="BF"/>
                                <w:sz w:val="24"/>
                                <w:szCs w:val="24"/>
                              </w:rPr>
                            </w:pPr>
                            <w:r w:rsidRPr="006A07FD">
                              <w:rPr>
                                <w:b/>
                                <w:bCs/>
                                <w:color w:val="2F5496" w:themeColor="accent1" w:themeShade="BF"/>
                              </w:rPr>
                              <w:t xml:space="preserve">Two questions in this regard: </w:t>
                            </w:r>
                          </w:p>
                          <w:p w:rsidRPr="006A07FD" w:rsidR="00114CAA" w:rsidP="007B2D1C" w:rsidRDefault="00114CAA" w14:paraId="0C6EB676" w14:textId="77777777">
                            <w:pPr>
                              <w:pStyle w:val="ListParagraph"/>
                              <w:numPr>
                                <w:ilvl w:val="1"/>
                                <w:numId w:val="14"/>
                              </w:numPr>
                              <w:spacing w:after="60"/>
                              <w:rPr>
                                <w:b/>
                                <w:bCs/>
                                <w:color w:val="2F5496" w:themeColor="accent1" w:themeShade="BF"/>
                                <w:sz w:val="24"/>
                                <w:szCs w:val="24"/>
                              </w:rPr>
                            </w:pPr>
                            <w:r w:rsidRPr="006A07FD">
                              <w:rPr>
                                <w:b/>
                                <w:bCs/>
                                <w:color w:val="2F5496" w:themeColor="accent1" w:themeShade="BF"/>
                              </w:rPr>
                              <w:t xml:space="preserve">Practically, do sector partners have the capacity to implement $404m in potential funding? </w:t>
                            </w:r>
                          </w:p>
                          <w:p w:rsidRPr="005B45AD" w:rsidR="00335139" w:rsidP="005B45AD" w:rsidRDefault="00114CAA" w14:paraId="164E1335" w14:textId="5BE7A838">
                            <w:pPr>
                              <w:pStyle w:val="ListParagraph"/>
                              <w:numPr>
                                <w:ilvl w:val="1"/>
                                <w:numId w:val="14"/>
                              </w:numPr>
                              <w:spacing w:after="60"/>
                              <w:rPr>
                                <w:b/>
                                <w:bCs/>
                                <w:color w:val="2F5496" w:themeColor="accent1" w:themeShade="BF"/>
                                <w:sz w:val="24"/>
                                <w:szCs w:val="24"/>
                              </w:rPr>
                            </w:pPr>
                            <w:r w:rsidRPr="006A07FD">
                              <w:rPr>
                                <w:b/>
                                <w:bCs/>
                                <w:color w:val="2F5496" w:themeColor="accent1" w:themeShade="BF"/>
                              </w:rPr>
                              <w:t>In terms of strengthened advocacy and resource mobilization with donors, what are we not doing well enough, and what should be done differently in your view?</w:t>
                            </w:r>
                          </w:p>
                          <w:p w:rsidRPr="005B45AD" w:rsidR="00114CAA" w:rsidP="005B45AD" w:rsidRDefault="005B45AD" w14:paraId="612D461B" w14:textId="143DE651">
                            <w:pPr>
                              <w:pStyle w:val="ListParagraph"/>
                              <w:numPr>
                                <w:ilvl w:val="0"/>
                                <w:numId w:val="14"/>
                              </w:numPr>
                              <w:spacing w:after="60"/>
                              <w:rPr>
                                <w:b/>
                                <w:color w:val="2F5496" w:themeColor="accent1" w:themeShade="BF"/>
                                <w:sz w:val="24"/>
                                <w:szCs w:val="24"/>
                              </w:rPr>
                            </w:pPr>
                            <w:r>
                              <w:rPr>
                                <w:b/>
                                <w:bCs/>
                                <w:color w:val="2F5496" w:themeColor="accent1" w:themeShade="BF"/>
                              </w:rPr>
                              <w:t xml:space="preserve">What coordination efforts are being undertaken across sectors to strengthen protection mainstreaming generally, but also to advance impact across the </w:t>
                            </w:r>
                            <w:proofErr w:type="spellStart"/>
                            <w:r>
                              <w:rPr>
                                <w:b/>
                                <w:bCs/>
                                <w:color w:val="2F5496" w:themeColor="accent1" w:themeShade="BF"/>
                              </w:rPr>
                              <w:t>AoRs</w:t>
                            </w:r>
                            <w:proofErr w:type="spellEnd"/>
                            <w:r>
                              <w:rPr>
                                <w:b/>
                                <w:bCs/>
                                <w:color w:val="2F5496" w:themeColor="accent1" w:themeShade="BF"/>
                              </w:rPr>
                              <w:t xml:space="preserve"> (e.g. mine risk education messaging in schools, linkages with health on psychological assistance to children and GBV victims)?</w:t>
                            </w:r>
                          </w:p>
                        </w:txbxContent>
                      </wps:txbx>
                      <wps:bodyPr rot="0" vert="horz" wrap="square" lIns="91440" tIns="45720" rIns="91440" bIns="45720" anchor="t" anchorCtr="0">
                        <a:noAutofit/>
                      </wps:bodyPr>
                    </wps:wsp>
                  </a:graphicData>
                </a:graphic>
              </wp:inline>
            </w:drawing>
          </mc:Choice>
          <mc:Fallback>
            <w:pict w14:anchorId="2D477B47">
              <v:shape id="_x0000_s1029" style="width:486pt;height:183.75pt;visibility:visible;mso-wrap-style:square;mso-left-percent:-10001;mso-top-percent:-10001;mso-position-horizontal:absolute;mso-position-horizontal-relative:char;mso-position-vertical:absolute;mso-position-vertical-relative:line;mso-left-percent:-10001;mso-top-percent:-10001;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TMLgIAAE0EAAAOAAAAZHJzL2Uyb0RvYy54bWysVNtu2zAMfR+wfxD0vjhxbq0Rp+jSZRjQ&#10;XYB2HyDLcixMEjVJiZ19fSk5TdPubZgfBFKkDslD0qubXityEM5LMCWdjMaUCMOhlmZX0p+P2w9X&#10;lPjATM0UGFHSo/D0Zv3+3aqzhcihBVULRxDE+KKzJW1DsEWWed4KzfwIrDBobMBpFlB1u6x2rEN0&#10;rbJ8PF5kHbjaOuDCe7y9G4x0nfCbRvDwvWm8CESVFHML6XTprOKZrVes2DlmW8lPabB/yEIzaTDo&#10;GeqOBUb2Tv4FpSV34KEJIw46g6aRXKQasJrJ+E01Dy2zItWC5Hh7psn/P1j+7fDDEVmXNJ8sKTFM&#10;Y5MeRR/IR+hJHvnprC/Q7cGiY+jxGvucavX2HvgvTwxsWmZ24tY56FrBasxvEl9mF08HHB9Bqu4r&#10;1BiG7QMkoL5xOpKHdBBExz4dz72JqXC8XEyWOTacEo62fDqdLhfLFIMVz8+t8+GzAE2iUFKHzU/w&#10;7HDvQ0yHFc8uMZoHJeutVCopbldtlCMHhoOyTd8J/ZWbMqQr6fU8nw8MvIKIMyvOIKEfOHgTSMuA&#10;A6+kLunVOH4xDCsibZ9MneTApBpkzFiZE4+RuoHE0Fd9atk0vo0cV1AfkVgHw3zjPqLQgvtDSYez&#10;XVL/e8+coER9Mdic68lsFpchKbP5MkfFXVqqSwszHKFKGigZxE1ICxTTNnCLTWxkovclk1PKOLOJ&#10;9dN+xaW41JPXy19g/QQAAP//AwBQSwMEFAAGAAgAAAAhACFuSKjbAAAABQEAAA8AAABkcnMvZG93&#10;bnJldi54bWxMj0FLw0AQhe9C/8MyBW92Y8VWYzZFKqknhaaCeJtmxySYnQ3ZbRv/vaMXe3nweMN7&#10;32Sr0XXqSENoPRu4niWgiCtvW64NvO2KqztQISJb7DyTgW8KsMonFxmm1p94S8cy1kpKOKRooImx&#10;T7UOVUMOw8z3xJJ9+sFhFDvU2g54knLX6XmSLLTDlmWhwZ7WDVVf5cEZeN5UT2XQAYvN9qX/WL/b&#10;wr5aYy6n4+MDqEhj/D+GX3xBh1yY9v7ANqjOgDwS/1Sy++Vc7N7AzWJ5CzrP9Dl9/gMAAP//AwBQ&#10;SwECLQAUAAYACAAAACEAtoM4kv4AAADhAQAAEwAAAAAAAAAAAAAAAAAAAAAAW0NvbnRlbnRfVHlw&#10;ZXNdLnhtbFBLAQItABQABgAIAAAAIQA4/SH/1gAAAJQBAAALAAAAAAAAAAAAAAAAAC8BAABfcmVs&#10;cy8ucmVsc1BLAQItABQABgAIAAAAIQDfP8TMLgIAAE0EAAAOAAAAAAAAAAAAAAAAAC4CAABkcnMv&#10;ZTJvRG9jLnhtbFBLAQItABQABgAIAAAAIQAhbkio2wAAAAUBAAAPAAAAAAAAAAAAAAAAAIgEAABk&#10;cnMvZG93bnJldi54bWxQSwUGAAAAAAQABADzAAAAkAUAAAAA&#10;" w14:anchorId="04DD00EA">
                <v:textbox>
                  <w:txbxContent>
                    <w:p w:rsidRPr="006A07FD" w:rsidR="00114CAA" w:rsidP="006A07FD" w:rsidRDefault="00213ABA" w14:paraId="35B0CAFA" w14:textId="2266D861">
                      <w:pPr>
                        <w:jc w:val="center"/>
                        <w:rPr>
                          <w:b/>
                          <w:bCs/>
                          <w:sz w:val="24"/>
                          <w:szCs w:val="24"/>
                        </w:rPr>
                      </w:pPr>
                      <w:r>
                        <w:rPr>
                          <w:b/>
                          <w:bCs/>
                          <w:sz w:val="24"/>
                          <w:szCs w:val="24"/>
                          <w:highlight w:val="yellow"/>
                        </w:rPr>
                        <w:t>Possible</w:t>
                      </w:r>
                      <w:r w:rsidRPr="006A07FD" w:rsidR="00114CAA">
                        <w:rPr>
                          <w:b/>
                          <w:bCs/>
                          <w:sz w:val="24"/>
                          <w:szCs w:val="24"/>
                          <w:highlight w:val="yellow"/>
                        </w:rPr>
                        <w:t xml:space="preserve"> points to raise</w:t>
                      </w:r>
                    </w:p>
                    <w:p w:rsidRPr="006A07FD" w:rsidR="00114CAA" w:rsidP="007B2D1C" w:rsidRDefault="00335139" w14:paraId="51E0D27E" w14:textId="64977A34">
                      <w:pPr>
                        <w:pStyle w:val="ListParagraph"/>
                        <w:numPr>
                          <w:ilvl w:val="0"/>
                          <w:numId w:val="14"/>
                        </w:numPr>
                        <w:spacing w:after="60"/>
                        <w:rPr>
                          <w:b/>
                          <w:bCs/>
                          <w:color w:val="2F5496" w:themeColor="accent1" w:themeShade="BF"/>
                          <w:sz w:val="24"/>
                          <w:szCs w:val="24"/>
                        </w:rPr>
                      </w:pPr>
                      <w:r>
                        <w:rPr>
                          <w:b/>
                          <w:bCs/>
                          <w:color w:val="2F5496" w:themeColor="accent1" w:themeShade="BF"/>
                        </w:rPr>
                        <w:t>T</w:t>
                      </w:r>
                      <w:r w:rsidRPr="006A07FD">
                        <w:rPr>
                          <w:b/>
                          <w:bCs/>
                          <w:color w:val="2F5496" w:themeColor="accent1" w:themeShade="BF"/>
                        </w:rPr>
                        <w:t>he</w:t>
                      </w:r>
                      <w:r w:rsidRPr="006A07FD" w:rsidR="00114CAA">
                        <w:rPr>
                          <w:b/>
                          <w:bCs/>
                          <w:color w:val="2F5496" w:themeColor="accent1" w:themeShade="BF"/>
                        </w:rPr>
                        <w:t xml:space="preserve"> protection sector received limited funding in 2020 (25%). At the same time, you are asking for a 4% increase in </w:t>
                      </w:r>
                      <w:r w:rsidR="007B2D1C">
                        <w:rPr>
                          <w:b/>
                          <w:bCs/>
                          <w:color w:val="2F5496" w:themeColor="accent1" w:themeShade="BF"/>
                        </w:rPr>
                        <w:t>requirements</w:t>
                      </w:r>
                      <w:r w:rsidRPr="006A07FD" w:rsidR="00114CAA">
                        <w:rPr>
                          <w:b/>
                          <w:bCs/>
                          <w:color w:val="2F5496" w:themeColor="accent1" w:themeShade="BF"/>
                        </w:rPr>
                        <w:t xml:space="preserve"> in 2021. </w:t>
                      </w:r>
                    </w:p>
                    <w:p w:rsidRPr="006A07FD" w:rsidR="00114CAA" w:rsidP="007B2D1C" w:rsidRDefault="00114CAA" w14:paraId="76A00A2F" w14:textId="77777777">
                      <w:pPr>
                        <w:pStyle w:val="ListParagraph"/>
                        <w:numPr>
                          <w:ilvl w:val="0"/>
                          <w:numId w:val="14"/>
                        </w:numPr>
                        <w:spacing w:after="60"/>
                        <w:rPr>
                          <w:b/>
                          <w:bCs/>
                          <w:color w:val="2F5496" w:themeColor="accent1" w:themeShade="BF"/>
                          <w:sz w:val="24"/>
                          <w:szCs w:val="24"/>
                        </w:rPr>
                      </w:pPr>
                      <w:r w:rsidRPr="006A07FD">
                        <w:rPr>
                          <w:b/>
                          <w:bCs/>
                          <w:color w:val="2F5496" w:themeColor="accent1" w:themeShade="BF"/>
                        </w:rPr>
                        <w:t xml:space="preserve">Two questions in this regard: </w:t>
                      </w:r>
                    </w:p>
                    <w:p w:rsidRPr="006A07FD" w:rsidR="00114CAA" w:rsidP="007B2D1C" w:rsidRDefault="00114CAA" w14:paraId="025AE553" w14:textId="77777777">
                      <w:pPr>
                        <w:pStyle w:val="ListParagraph"/>
                        <w:numPr>
                          <w:ilvl w:val="1"/>
                          <w:numId w:val="14"/>
                        </w:numPr>
                        <w:spacing w:after="60"/>
                        <w:rPr>
                          <w:b/>
                          <w:bCs/>
                          <w:color w:val="2F5496" w:themeColor="accent1" w:themeShade="BF"/>
                          <w:sz w:val="24"/>
                          <w:szCs w:val="24"/>
                        </w:rPr>
                      </w:pPr>
                      <w:r w:rsidRPr="006A07FD">
                        <w:rPr>
                          <w:b/>
                          <w:bCs/>
                          <w:color w:val="2F5496" w:themeColor="accent1" w:themeShade="BF"/>
                        </w:rPr>
                        <w:t xml:space="preserve">Practically, do sector partners have the capacity to implement $404m in potential funding? </w:t>
                      </w:r>
                    </w:p>
                    <w:p w:rsidRPr="005B45AD" w:rsidR="00335139" w:rsidP="005B45AD" w:rsidRDefault="00114CAA" w14:paraId="1A446FDB" w14:textId="5BE7A838">
                      <w:pPr>
                        <w:pStyle w:val="ListParagraph"/>
                        <w:numPr>
                          <w:ilvl w:val="1"/>
                          <w:numId w:val="14"/>
                        </w:numPr>
                        <w:spacing w:after="60"/>
                        <w:rPr>
                          <w:b/>
                          <w:bCs/>
                          <w:color w:val="2F5496" w:themeColor="accent1" w:themeShade="BF"/>
                          <w:sz w:val="24"/>
                          <w:szCs w:val="24"/>
                        </w:rPr>
                      </w:pPr>
                      <w:r w:rsidRPr="006A07FD">
                        <w:rPr>
                          <w:b/>
                          <w:bCs/>
                          <w:color w:val="2F5496" w:themeColor="accent1" w:themeShade="BF"/>
                        </w:rPr>
                        <w:t>In terms of strengthened advocacy and resource mobilization with donors, what are we not doing well enough, and what should be done differently in your view?</w:t>
                      </w:r>
                    </w:p>
                    <w:p w:rsidRPr="005B45AD" w:rsidR="00114CAA" w:rsidP="005B45AD" w:rsidRDefault="005B45AD" w14:paraId="2E4433ED" w14:textId="143DE651">
                      <w:pPr>
                        <w:pStyle w:val="ListParagraph"/>
                        <w:numPr>
                          <w:ilvl w:val="0"/>
                          <w:numId w:val="14"/>
                        </w:numPr>
                        <w:spacing w:after="60"/>
                        <w:rPr>
                          <w:b/>
                          <w:color w:val="2F5496" w:themeColor="accent1" w:themeShade="BF"/>
                          <w:sz w:val="24"/>
                          <w:szCs w:val="24"/>
                        </w:rPr>
                      </w:pPr>
                      <w:r>
                        <w:rPr>
                          <w:b/>
                          <w:bCs/>
                          <w:color w:val="2F5496" w:themeColor="accent1" w:themeShade="BF"/>
                        </w:rPr>
                        <w:t xml:space="preserve">What coordination efforts are being undertaken across sectors to strengthen protection mainstreaming generally, but also to advance impact across the </w:t>
                      </w:r>
                      <w:proofErr w:type="spellStart"/>
                      <w:r>
                        <w:rPr>
                          <w:b/>
                          <w:bCs/>
                          <w:color w:val="2F5496" w:themeColor="accent1" w:themeShade="BF"/>
                        </w:rPr>
                        <w:t>AoRs</w:t>
                      </w:r>
                      <w:proofErr w:type="spellEnd"/>
                      <w:r>
                        <w:rPr>
                          <w:b/>
                          <w:bCs/>
                          <w:color w:val="2F5496" w:themeColor="accent1" w:themeShade="BF"/>
                        </w:rPr>
                        <w:t xml:space="preserve"> (e.g. mine risk education messaging in schools, linkages with health on psychological assistance to children and GBV victims)?</w:t>
                      </w:r>
                    </w:p>
                  </w:txbxContent>
                </v:textbox>
                <w10:anchorlock/>
              </v:shape>
            </w:pict>
          </mc:Fallback>
        </mc:AlternateContent>
      </w:r>
    </w:p>
    <w:p w:rsidR="00003F7A" w:rsidP="00EA1163" w:rsidRDefault="00003F7A" w14:paraId="1611252E" w14:textId="5F23108B">
      <w:pPr>
        <w:spacing w:line="240" w:lineRule="auto"/>
        <w:rPr>
          <w:b/>
          <w:bCs/>
          <w:sz w:val="24"/>
          <w:szCs w:val="24"/>
        </w:rPr>
      </w:pPr>
    </w:p>
    <w:p w:rsidRPr="00B06C39" w:rsidR="00C62BDA" w:rsidP="00EA1163" w:rsidRDefault="00C62BDA" w14:paraId="1E996B03" w14:textId="77777777">
      <w:pPr>
        <w:numPr>
          <w:ilvl w:val="0"/>
          <w:numId w:val="17"/>
        </w:numPr>
        <w:pBdr>
          <w:top w:val="nil"/>
          <w:left w:val="nil"/>
          <w:bottom w:val="nil"/>
          <w:right w:val="nil"/>
          <w:between w:val="nil"/>
        </w:pBdr>
        <w:spacing w:after="0" w:line="240" w:lineRule="auto"/>
        <w:rPr>
          <w:rFonts w:cstheme="minorHAnsi"/>
          <w:b/>
          <w:color w:val="000000"/>
          <w:sz w:val="20"/>
          <w:szCs w:val="20"/>
        </w:rPr>
      </w:pPr>
      <w:r w:rsidRPr="00B06C39">
        <w:rPr>
          <w:rFonts w:cstheme="minorHAnsi"/>
          <w:b/>
          <w:color w:val="000000"/>
          <w:sz w:val="20"/>
          <w:szCs w:val="20"/>
        </w:rPr>
        <w:t>2021 Key figures</w:t>
      </w:r>
    </w:p>
    <w:p w:rsidRPr="00B06C39" w:rsidR="00C62BDA" w:rsidP="00EA1163" w:rsidRDefault="00C62BDA" w14:paraId="7EAB09FC" w14:textId="77777777">
      <w:pPr>
        <w:pBdr>
          <w:top w:val="nil"/>
          <w:left w:val="nil"/>
          <w:bottom w:val="nil"/>
          <w:right w:val="nil"/>
          <w:between w:val="nil"/>
        </w:pBdr>
        <w:spacing w:after="0" w:line="240" w:lineRule="auto"/>
        <w:ind w:left="360"/>
        <w:rPr>
          <w:rFonts w:cstheme="minorHAnsi"/>
          <w:b/>
          <w:color w:val="000000"/>
          <w:sz w:val="20"/>
          <w:szCs w:val="20"/>
        </w:rPr>
      </w:pPr>
    </w:p>
    <w:tbl>
      <w:tblPr>
        <w:tblStyle w:val="PlainTable4"/>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86"/>
        <w:gridCol w:w="1168"/>
        <w:gridCol w:w="1542"/>
        <w:gridCol w:w="1168"/>
        <w:gridCol w:w="1233"/>
        <w:gridCol w:w="1194"/>
        <w:gridCol w:w="991"/>
        <w:gridCol w:w="1233"/>
      </w:tblGrid>
      <w:tr w:rsidRPr="000C35D5" w:rsidR="00C62BDA" w:rsidTr="007B2D1C" w14:paraId="0081EA37"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354" w:type="dxa"/>
            <w:gridSpan w:val="2"/>
          </w:tcPr>
          <w:p w:rsidRPr="00AD1F59" w:rsidR="00C62BDA" w:rsidP="00191CB2" w:rsidRDefault="00C62BDA" w14:paraId="02AAF5B9" w14:textId="77777777">
            <w:pPr>
              <w:pStyle w:val="ListParagraph"/>
              <w:jc w:val="center"/>
              <w:rPr>
                <w:rFonts w:asciiTheme="minorHAnsi" w:hAnsiTheme="minorHAnsi" w:cstheme="minorHAnsi"/>
                <w:i/>
                <w:iCs/>
              </w:rPr>
            </w:pPr>
            <w:r w:rsidRPr="00AD1F59">
              <w:rPr>
                <w:rFonts w:asciiTheme="minorHAnsi" w:hAnsiTheme="minorHAnsi" w:cstheme="minorHAnsi"/>
                <w:i/>
                <w:iCs/>
              </w:rPr>
              <w:t>People in Need</w:t>
            </w:r>
          </w:p>
        </w:tc>
        <w:tc>
          <w:tcPr>
            <w:tcW w:w="2710" w:type="dxa"/>
            <w:gridSpan w:val="2"/>
          </w:tcPr>
          <w:p w:rsidRPr="00AD1F59" w:rsidR="00C62BDA" w:rsidP="00191CB2" w:rsidRDefault="00C62BDA" w14:paraId="73A16058"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rPr>
            </w:pPr>
            <w:r w:rsidRPr="00AD1F59">
              <w:rPr>
                <w:rFonts w:asciiTheme="minorHAnsi" w:hAnsiTheme="minorHAnsi" w:cstheme="minorHAnsi"/>
                <w:i/>
                <w:iCs/>
              </w:rPr>
              <w:t>Target</w:t>
            </w:r>
          </w:p>
        </w:tc>
        <w:tc>
          <w:tcPr>
            <w:tcW w:w="2427" w:type="dxa"/>
            <w:gridSpan w:val="2"/>
          </w:tcPr>
          <w:p w:rsidRPr="00AD1F59" w:rsidR="00C62BDA" w:rsidP="00191CB2" w:rsidRDefault="00C62BDA" w14:paraId="10F9FB46"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rPr>
            </w:pPr>
            <w:r w:rsidRPr="00AD1F59">
              <w:rPr>
                <w:rFonts w:asciiTheme="minorHAnsi" w:hAnsiTheme="minorHAnsi" w:cstheme="minorHAnsi"/>
                <w:i/>
                <w:iCs/>
              </w:rPr>
              <w:t>Funding requirements</w:t>
            </w:r>
          </w:p>
        </w:tc>
        <w:tc>
          <w:tcPr>
            <w:tcW w:w="991" w:type="dxa"/>
          </w:tcPr>
          <w:p w:rsidRPr="00AD1F59" w:rsidR="00C62BDA" w:rsidP="00AB48E7" w:rsidRDefault="00C62BDA" w14:paraId="612954D0" w14:textId="161A811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1F59">
              <w:rPr>
                <w:rFonts w:asciiTheme="minorHAnsi" w:hAnsiTheme="minorHAnsi" w:cstheme="minorHAnsi"/>
              </w:rPr>
              <w:t>Partners</w:t>
            </w:r>
          </w:p>
        </w:tc>
        <w:tc>
          <w:tcPr>
            <w:tcW w:w="1233" w:type="dxa"/>
          </w:tcPr>
          <w:p w:rsidRPr="00AD1F59" w:rsidR="00C62BDA" w:rsidP="00AB48E7" w:rsidRDefault="00C62BDA" w14:paraId="09A7AC19" w14:textId="11D6C5F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1F59">
              <w:rPr>
                <w:rFonts w:asciiTheme="minorHAnsi" w:hAnsiTheme="minorHAnsi" w:cstheme="minorHAnsi"/>
              </w:rPr>
              <w:t>Projects</w:t>
            </w:r>
          </w:p>
        </w:tc>
      </w:tr>
      <w:tr w:rsidRPr="000C35D5" w:rsidR="00C11C66" w:rsidTr="007B2D1C" w14:paraId="63996F33" w14:textId="7777777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186" w:type="dxa"/>
          </w:tcPr>
          <w:p w:rsidRPr="00AD1F59" w:rsidR="00C62BDA" w:rsidP="00884DDE" w:rsidRDefault="00C62BDA" w14:paraId="1302FD20" w14:textId="77777777">
            <w:pPr>
              <w:pStyle w:val="ListParagraph"/>
              <w:ind w:left="0"/>
              <w:jc w:val="center"/>
              <w:rPr>
                <w:rFonts w:asciiTheme="minorHAnsi" w:hAnsiTheme="minorHAnsi" w:cstheme="minorHAnsi"/>
                <w:b w:val="0"/>
                <w:bCs w:val="0"/>
                <w:i/>
                <w:iCs/>
                <w:sz w:val="16"/>
                <w:szCs w:val="16"/>
              </w:rPr>
            </w:pPr>
            <w:r w:rsidRPr="00AD1F59">
              <w:rPr>
                <w:rFonts w:asciiTheme="minorHAnsi" w:hAnsiTheme="minorHAnsi" w:cstheme="minorHAnsi"/>
                <w:b w:val="0"/>
                <w:bCs w:val="0"/>
                <w:i/>
                <w:iCs/>
                <w:sz w:val="16"/>
                <w:szCs w:val="16"/>
              </w:rPr>
              <w:t>In million</w:t>
            </w:r>
          </w:p>
        </w:tc>
        <w:tc>
          <w:tcPr>
            <w:tcW w:w="1168" w:type="dxa"/>
          </w:tcPr>
          <w:p w:rsidRPr="00AD1F59" w:rsidR="00C62BDA" w:rsidP="00884DDE" w:rsidRDefault="00C62BDA" w14:paraId="74B5707E"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6"/>
                <w:szCs w:val="16"/>
              </w:rPr>
            </w:pPr>
            <w:r w:rsidRPr="00AD1F59">
              <w:rPr>
                <w:rFonts w:asciiTheme="minorHAnsi" w:hAnsiTheme="minorHAnsi" w:cstheme="minorHAnsi"/>
                <w:i/>
                <w:iCs/>
                <w:sz w:val="16"/>
                <w:szCs w:val="16"/>
              </w:rPr>
              <w:t>% variation in 2020</w:t>
            </w:r>
          </w:p>
        </w:tc>
        <w:tc>
          <w:tcPr>
            <w:tcW w:w="1542" w:type="dxa"/>
          </w:tcPr>
          <w:p w:rsidRPr="00AD1F59" w:rsidR="00C62BDA" w:rsidP="00884DDE" w:rsidRDefault="00C62BDA" w14:paraId="6FA97C22"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AD1F59">
              <w:rPr>
                <w:rFonts w:asciiTheme="minorHAnsi" w:hAnsiTheme="minorHAnsi" w:cstheme="minorHAnsi"/>
                <w:i/>
                <w:iCs/>
                <w:sz w:val="16"/>
                <w:szCs w:val="16"/>
              </w:rPr>
              <w:t>In million</w:t>
            </w:r>
          </w:p>
        </w:tc>
        <w:tc>
          <w:tcPr>
            <w:tcW w:w="1168" w:type="dxa"/>
          </w:tcPr>
          <w:p w:rsidRPr="00AD1F59" w:rsidR="00C62BDA" w:rsidP="00884DDE" w:rsidRDefault="00C62BDA" w14:paraId="540C0B3A" w14:textId="5EFCC0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AD1F59">
              <w:rPr>
                <w:rFonts w:asciiTheme="minorHAnsi" w:hAnsiTheme="minorHAnsi" w:cstheme="minorHAnsi"/>
                <w:i/>
                <w:iCs/>
                <w:sz w:val="16"/>
                <w:szCs w:val="16"/>
              </w:rPr>
              <w:t xml:space="preserve">% variation </w:t>
            </w:r>
            <w:r w:rsidR="006A07FD">
              <w:rPr>
                <w:rFonts w:asciiTheme="minorHAnsi" w:hAnsiTheme="minorHAnsi" w:cstheme="minorHAnsi"/>
                <w:i/>
                <w:iCs/>
                <w:sz w:val="16"/>
                <w:szCs w:val="16"/>
              </w:rPr>
              <w:t>to</w:t>
            </w:r>
            <w:r w:rsidRPr="00AD1F59">
              <w:rPr>
                <w:rFonts w:asciiTheme="minorHAnsi" w:hAnsiTheme="minorHAnsi" w:cstheme="minorHAnsi"/>
                <w:i/>
                <w:iCs/>
                <w:sz w:val="16"/>
                <w:szCs w:val="16"/>
              </w:rPr>
              <w:t xml:space="preserve"> 2020</w:t>
            </w:r>
          </w:p>
        </w:tc>
        <w:tc>
          <w:tcPr>
            <w:tcW w:w="1233" w:type="dxa"/>
          </w:tcPr>
          <w:p w:rsidRPr="00884DDE" w:rsidR="00C62BDA" w:rsidP="00884DDE" w:rsidRDefault="00C62BDA" w14:paraId="6D17990B"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r w:rsidRPr="00884DDE">
              <w:rPr>
                <w:rFonts w:cstheme="minorHAnsi"/>
                <w:i/>
                <w:iCs/>
                <w:sz w:val="16"/>
                <w:szCs w:val="16"/>
              </w:rPr>
              <w:t>US$</w:t>
            </w:r>
          </w:p>
        </w:tc>
        <w:tc>
          <w:tcPr>
            <w:tcW w:w="1194" w:type="dxa"/>
          </w:tcPr>
          <w:p w:rsidRPr="00884DDE" w:rsidR="00C62BDA" w:rsidP="00884DDE" w:rsidRDefault="00C62BDA" w14:paraId="3D572731"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r w:rsidRPr="00884DDE">
              <w:rPr>
                <w:rFonts w:cstheme="minorHAnsi"/>
                <w:i/>
                <w:iCs/>
                <w:sz w:val="16"/>
                <w:szCs w:val="16"/>
              </w:rPr>
              <w:t>% variation in 2020</w:t>
            </w:r>
          </w:p>
        </w:tc>
        <w:tc>
          <w:tcPr>
            <w:tcW w:w="991" w:type="dxa"/>
            <w:vMerge w:val="restart"/>
          </w:tcPr>
          <w:p w:rsidRPr="00AD1F59" w:rsidR="00C62BDA" w:rsidP="00AB48E7" w:rsidRDefault="00C62BDA" w14:paraId="538767BA" w14:textId="77777777">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p w:rsidRPr="00AD1F59" w:rsidR="00C62BDA" w:rsidP="00191CB2" w:rsidRDefault="00C62BDA" w14:paraId="0CA33E1D"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AD1F59">
              <w:rPr>
                <w:rFonts w:eastAsia="Calibri" w:cstheme="minorHAnsi"/>
                <w:b/>
                <w:bCs/>
              </w:rPr>
              <w:t>82</w:t>
            </w:r>
            <w:r w:rsidRPr="00AD1F59">
              <w:rPr>
                <w:rFonts w:eastAsia="Calibri" w:cstheme="minorHAnsi"/>
              </w:rPr>
              <w:t>(-8)</w:t>
            </w:r>
          </w:p>
        </w:tc>
        <w:tc>
          <w:tcPr>
            <w:tcW w:w="1233" w:type="dxa"/>
            <w:vMerge w:val="restart"/>
          </w:tcPr>
          <w:p w:rsidRPr="00AD1F59" w:rsidR="00C62BDA" w:rsidP="00191CB2" w:rsidRDefault="00C62BDA" w14:paraId="6D929575" w14:textId="77777777">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p w:rsidRPr="00AD1F59" w:rsidR="00C62BDA" w:rsidP="00AB48E7" w:rsidRDefault="00C62BDA" w14:paraId="2B7C88D0"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AD1F59">
              <w:rPr>
                <w:rFonts w:eastAsia="Calibri" w:cstheme="minorHAnsi"/>
                <w:b/>
                <w:bCs/>
              </w:rPr>
              <w:t xml:space="preserve">108 </w:t>
            </w:r>
            <w:r w:rsidRPr="00AD1F59">
              <w:rPr>
                <w:rFonts w:eastAsia="Calibri" w:cstheme="minorHAnsi"/>
              </w:rPr>
              <w:t>(-3)</w:t>
            </w:r>
          </w:p>
        </w:tc>
      </w:tr>
      <w:tr w:rsidRPr="000C35D5" w:rsidR="00C62BDA" w:rsidTr="007B2D1C" w14:paraId="7BE701BD" w14:textId="77777777">
        <w:trPr>
          <w:trHeight w:val="288"/>
        </w:trPr>
        <w:tc>
          <w:tcPr>
            <w:cnfStyle w:val="001000000000" w:firstRow="0" w:lastRow="0" w:firstColumn="1" w:lastColumn="0" w:oddVBand="0" w:evenVBand="0" w:oddHBand="0" w:evenHBand="0" w:firstRowFirstColumn="0" w:firstRowLastColumn="0" w:lastRowFirstColumn="0" w:lastRowLastColumn="0"/>
            <w:tcW w:w="1186" w:type="dxa"/>
          </w:tcPr>
          <w:p w:rsidRPr="00AD1F59" w:rsidR="00C62BDA" w:rsidP="00AB48E7" w:rsidRDefault="00C62BDA" w14:paraId="104BD6FD" w14:textId="77777777">
            <w:pPr>
              <w:pStyle w:val="ListParagraph"/>
              <w:ind w:left="0"/>
              <w:jc w:val="center"/>
              <w:rPr>
                <w:rFonts w:asciiTheme="minorHAnsi" w:hAnsiTheme="minorHAnsi" w:cstheme="minorHAnsi"/>
              </w:rPr>
            </w:pPr>
            <w:r w:rsidRPr="00AD1F59">
              <w:rPr>
                <w:rFonts w:asciiTheme="minorHAnsi" w:hAnsiTheme="minorHAnsi" w:cstheme="minorHAnsi"/>
              </w:rPr>
              <w:t>13.13M</w:t>
            </w:r>
          </w:p>
        </w:tc>
        <w:tc>
          <w:tcPr>
            <w:tcW w:w="1168" w:type="dxa"/>
          </w:tcPr>
          <w:p w:rsidRPr="00AD1F59" w:rsidR="00C62BDA" w:rsidP="00AD1F59" w:rsidRDefault="00C62BDA" w14:paraId="48836B1F"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F59">
              <w:rPr>
                <w:rFonts w:asciiTheme="minorHAnsi" w:hAnsiTheme="minorHAnsi" w:cstheme="minorHAnsi"/>
              </w:rPr>
              <w:t>-3%</w:t>
            </w:r>
          </w:p>
        </w:tc>
        <w:tc>
          <w:tcPr>
            <w:tcW w:w="1542" w:type="dxa"/>
          </w:tcPr>
          <w:p w:rsidRPr="00AD1F59" w:rsidR="00C62BDA" w:rsidP="00AB48E7" w:rsidRDefault="006A07FD" w14:paraId="74B15B7A" w14:textId="1526123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12.6</w:t>
            </w:r>
            <w:r w:rsidRPr="00AD1F59" w:rsidR="00C62BDA">
              <w:rPr>
                <w:rFonts w:asciiTheme="minorHAnsi" w:hAnsiTheme="minorHAnsi" w:cstheme="minorHAnsi"/>
                <w:b/>
                <w:bCs/>
              </w:rPr>
              <w:t>M</w:t>
            </w:r>
            <w:r w:rsidR="00AB48E7">
              <w:rPr>
                <w:rFonts w:asciiTheme="minorHAnsi" w:hAnsiTheme="minorHAnsi" w:cstheme="minorHAnsi"/>
                <w:b/>
                <w:bCs/>
              </w:rPr>
              <w:t xml:space="preserve"> </w:t>
            </w:r>
            <w:r w:rsidRPr="00AB48E7" w:rsidR="00AB48E7">
              <w:rPr>
                <w:rFonts w:asciiTheme="minorHAnsi" w:hAnsiTheme="minorHAnsi" w:cstheme="minorHAnsi"/>
              </w:rPr>
              <w:t>(interventions)</w:t>
            </w:r>
          </w:p>
        </w:tc>
        <w:tc>
          <w:tcPr>
            <w:tcW w:w="1168" w:type="dxa"/>
          </w:tcPr>
          <w:p w:rsidRPr="00AD1F59" w:rsidR="00C62BDA" w:rsidP="00AD1F59" w:rsidRDefault="00346F4A" w14:paraId="530F41A5" w14:textId="4614C03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Pr="00AD1F59" w:rsidR="00C62BDA">
              <w:rPr>
                <w:rFonts w:asciiTheme="minorHAnsi" w:hAnsiTheme="minorHAnsi" w:cstheme="minorHAnsi"/>
              </w:rPr>
              <w:t>%</w:t>
            </w:r>
          </w:p>
        </w:tc>
        <w:tc>
          <w:tcPr>
            <w:tcW w:w="1233" w:type="dxa"/>
          </w:tcPr>
          <w:p w:rsidRPr="00AD1F59" w:rsidR="00C62BDA" w:rsidP="00191CB2" w:rsidRDefault="00C62BDA" w14:paraId="0B562731"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D1F59">
              <w:rPr>
                <w:rFonts w:asciiTheme="minorHAnsi" w:hAnsiTheme="minorHAnsi" w:cstheme="minorHAnsi"/>
                <w:b/>
                <w:bCs/>
              </w:rPr>
              <w:t>403.7M</w:t>
            </w:r>
          </w:p>
        </w:tc>
        <w:tc>
          <w:tcPr>
            <w:tcW w:w="1194" w:type="dxa"/>
          </w:tcPr>
          <w:p w:rsidRPr="00AD1F59" w:rsidR="00C62BDA" w:rsidP="00191CB2" w:rsidRDefault="00C62BDA" w14:paraId="032A4AE3"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F59">
              <w:rPr>
                <w:rFonts w:asciiTheme="minorHAnsi" w:hAnsiTheme="minorHAnsi" w:cstheme="minorHAnsi"/>
              </w:rPr>
              <w:t>4%</w:t>
            </w:r>
          </w:p>
        </w:tc>
        <w:tc>
          <w:tcPr>
            <w:tcW w:w="991" w:type="dxa"/>
            <w:vMerge/>
          </w:tcPr>
          <w:p w:rsidRPr="00B06C39" w:rsidR="00C62BDA" w:rsidP="00AB48E7" w:rsidRDefault="00C62BDA" w14:paraId="08878FE7"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tcW w:w="1233" w:type="dxa"/>
            <w:vMerge/>
          </w:tcPr>
          <w:p w:rsidRPr="00B06C39" w:rsidR="00C62BDA" w:rsidP="00AB48E7" w:rsidRDefault="00C62BDA" w14:paraId="53A8558E"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bl>
    <w:p w:rsidRPr="00B06C39" w:rsidR="00C62BDA" w:rsidP="00EA1163" w:rsidRDefault="00C62BDA" w14:paraId="683AA66B" w14:textId="77777777">
      <w:pPr>
        <w:pBdr>
          <w:top w:val="nil"/>
          <w:left w:val="nil"/>
          <w:bottom w:val="nil"/>
          <w:right w:val="nil"/>
          <w:between w:val="nil"/>
        </w:pBdr>
        <w:spacing w:after="0" w:line="240" w:lineRule="auto"/>
        <w:ind w:left="360"/>
        <w:jc w:val="center"/>
        <w:rPr>
          <w:rFonts w:cstheme="minorHAnsi"/>
          <w:b/>
          <w:color w:val="000000"/>
          <w:sz w:val="20"/>
          <w:szCs w:val="20"/>
        </w:rPr>
      </w:pPr>
    </w:p>
    <w:p w:rsidRPr="00B06C39" w:rsidR="00C62BDA" w:rsidP="00EA1163" w:rsidRDefault="00C62BDA" w14:paraId="2D0F5354" w14:textId="77777777">
      <w:pPr>
        <w:pBdr>
          <w:top w:val="nil"/>
          <w:left w:val="nil"/>
          <w:bottom w:val="nil"/>
          <w:right w:val="nil"/>
          <w:between w:val="nil"/>
        </w:pBdr>
        <w:spacing w:after="0" w:line="240" w:lineRule="auto"/>
        <w:ind w:left="360"/>
        <w:rPr>
          <w:rFonts w:cstheme="minorHAnsi"/>
          <w:b/>
          <w:color w:val="000000"/>
          <w:sz w:val="20"/>
          <w:szCs w:val="20"/>
        </w:rPr>
      </w:pPr>
    </w:p>
    <w:p w:rsidRPr="00B06C39" w:rsidR="00C62BDA" w:rsidP="00EA1163" w:rsidRDefault="00C62BDA" w14:paraId="3FFC8C0A" w14:textId="77777777">
      <w:pPr>
        <w:spacing w:line="240" w:lineRule="auto"/>
        <w:rPr>
          <w:rFonts w:cstheme="minorHAnsi"/>
          <w:b/>
          <w:bCs/>
          <w:sz w:val="20"/>
          <w:szCs w:val="20"/>
        </w:rPr>
      </w:pPr>
      <w:r w:rsidRPr="00B06C39">
        <w:rPr>
          <w:rFonts w:cstheme="minorHAnsi"/>
          <w:b/>
          <w:bCs/>
          <w:sz w:val="20"/>
          <w:szCs w:val="20"/>
        </w:rPr>
        <w:t xml:space="preserve">2.  Most significant response gaps in 2020: </w:t>
      </w:r>
    </w:p>
    <w:p w:rsidRPr="00B06C39" w:rsidR="00C62BDA" w:rsidP="00EA1163" w:rsidRDefault="00C62BDA" w14:paraId="37421CD5" w14:textId="74DFEE5B">
      <w:pPr>
        <w:spacing w:before="240" w:after="240" w:line="240" w:lineRule="auto"/>
        <w:jc w:val="both"/>
        <w:rPr>
          <w:rFonts w:cstheme="minorHAnsi"/>
          <w:sz w:val="20"/>
          <w:szCs w:val="20"/>
        </w:rPr>
      </w:pPr>
      <w:proofErr w:type="gramStart"/>
      <w:r w:rsidRPr="00B06C39">
        <w:rPr>
          <w:rFonts w:cstheme="minorHAnsi"/>
          <w:sz w:val="20"/>
          <w:szCs w:val="20"/>
        </w:rPr>
        <w:t>In light of</w:t>
      </w:r>
      <w:proofErr w:type="gramEnd"/>
      <w:r w:rsidRPr="00B06C39">
        <w:rPr>
          <w:rFonts w:cstheme="minorHAnsi"/>
          <w:sz w:val="20"/>
          <w:szCs w:val="20"/>
        </w:rPr>
        <w:t xml:space="preserve"> the limited availability of funds, a substantial part of the planned protection projects and activities were not implemented, and protection needs remained unmet. In 2020 limited resources coupled with COVID 19 restrictions, escalation of violence in some geographical areas and the economic crisis have translated into limited ability of partners to prevent and respond adequately to the extend required of the child protection </w:t>
      </w:r>
      <w:proofErr w:type="gramStart"/>
      <w:r w:rsidRPr="00B06C39">
        <w:rPr>
          <w:rFonts w:cstheme="minorHAnsi"/>
          <w:sz w:val="20"/>
          <w:szCs w:val="20"/>
        </w:rPr>
        <w:t>needs  on</w:t>
      </w:r>
      <w:proofErr w:type="gramEnd"/>
      <w:r w:rsidRPr="00B06C39">
        <w:rPr>
          <w:rFonts w:cstheme="minorHAnsi"/>
          <w:sz w:val="20"/>
          <w:szCs w:val="20"/>
        </w:rPr>
        <w:t xml:space="preserve"> the ground.  </w:t>
      </w:r>
    </w:p>
    <w:p w:rsidRPr="00B06C39" w:rsidR="00C62BDA" w:rsidP="00EA1163" w:rsidRDefault="00C62BDA" w14:paraId="7E58F9C2" w14:textId="4DC81849">
      <w:pPr>
        <w:pStyle w:val="ListParagraph"/>
        <w:numPr>
          <w:ilvl w:val="0"/>
          <w:numId w:val="19"/>
        </w:numPr>
        <w:spacing w:before="240" w:after="240"/>
        <w:contextualSpacing/>
        <w:jc w:val="both"/>
        <w:rPr>
          <w:rFonts w:asciiTheme="minorHAnsi" w:hAnsiTheme="minorHAnsi" w:cstheme="minorHAnsi"/>
          <w:sz w:val="20"/>
          <w:szCs w:val="20"/>
        </w:rPr>
      </w:pPr>
      <w:r w:rsidRPr="00B06C39">
        <w:rPr>
          <w:rFonts w:asciiTheme="minorHAnsi" w:hAnsiTheme="minorHAnsi" w:cstheme="minorHAnsi"/>
          <w:sz w:val="20"/>
          <w:szCs w:val="20"/>
        </w:rPr>
        <w:t>All protection activities such as for persons living with disabilities and older persons, community mobilization, child protection, GBV prevention, mitigation and response, legal assistance and community based protection, suffered a substantial reduction of targeted beneficiaries, leaving many protection needs unaddressed and curtailing the impact of these protection interventions. Many vulnerable communities in Syria are under-served due to lack of funding.</w:t>
      </w:r>
    </w:p>
    <w:p w:rsidRPr="00B06C39" w:rsidR="00C62BDA" w:rsidP="00EA1163" w:rsidRDefault="00C62BDA" w14:paraId="36727446" w14:textId="2D71B398">
      <w:pPr>
        <w:pStyle w:val="ListParagraph"/>
        <w:numPr>
          <w:ilvl w:val="0"/>
          <w:numId w:val="19"/>
        </w:numPr>
        <w:spacing w:before="240" w:after="240"/>
        <w:contextualSpacing/>
        <w:jc w:val="both"/>
        <w:rPr>
          <w:rFonts w:asciiTheme="minorHAnsi" w:hAnsiTheme="minorHAnsi" w:cstheme="minorHAnsi"/>
          <w:sz w:val="20"/>
          <w:szCs w:val="20"/>
        </w:rPr>
      </w:pPr>
      <w:r w:rsidRPr="00B06C39">
        <w:rPr>
          <w:rFonts w:asciiTheme="minorHAnsi" w:hAnsiTheme="minorHAnsi" w:cstheme="minorHAnsi"/>
          <w:sz w:val="20"/>
          <w:szCs w:val="20"/>
        </w:rPr>
        <w:t>Children and their families in Syria</w:t>
      </w:r>
      <w:r w:rsidRPr="00B06C39" w:rsidDel="00B96113">
        <w:rPr>
          <w:rFonts w:asciiTheme="minorHAnsi" w:hAnsiTheme="minorHAnsi" w:cstheme="minorHAnsi"/>
          <w:sz w:val="20"/>
          <w:szCs w:val="20"/>
        </w:rPr>
        <w:t xml:space="preserve"> </w:t>
      </w:r>
      <w:r w:rsidRPr="00B06C39">
        <w:rPr>
          <w:rFonts w:asciiTheme="minorHAnsi" w:hAnsiTheme="minorHAnsi" w:cstheme="minorHAnsi"/>
          <w:sz w:val="20"/>
          <w:szCs w:val="20"/>
        </w:rPr>
        <w:t xml:space="preserve">were not supported beyond their basic humanitarian needs with sustained and predictable child protection services, these include: Psychosocial support </w:t>
      </w:r>
      <w:proofErr w:type="spellStart"/>
      <w:r w:rsidRPr="00B06C39">
        <w:rPr>
          <w:rFonts w:asciiTheme="minorHAnsi" w:hAnsiTheme="minorHAnsi" w:cstheme="minorHAnsi"/>
          <w:sz w:val="20"/>
          <w:szCs w:val="20"/>
        </w:rPr>
        <w:t>programmes</w:t>
      </w:r>
      <w:proofErr w:type="spellEnd"/>
      <w:r w:rsidRPr="00B06C39">
        <w:rPr>
          <w:rFonts w:asciiTheme="minorHAnsi" w:hAnsiTheme="minorHAnsi" w:cstheme="minorHAnsi"/>
          <w:sz w:val="20"/>
          <w:szCs w:val="20"/>
        </w:rPr>
        <w:t xml:space="preserve"> that promote resilience and restore the predictability required for adequate child development.</w:t>
      </w:r>
      <w:r w:rsidRPr="00B06C39" w:rsidDel="00C01E9E">
        <w:rPr>
          <w:rFonts w:asciiTheme="minorHAnsi" w:hAnsiTheme="minorHAnsi" w:cstheme="minorHAnsi"/>
          <w:sz w:val="20"/>
          <w:szCs w:val="20"/>
        </w:rPr>
        <w:t xml:space="preserve"> </w:t>
      </w:r>
      <w:r w:rsidRPr="00B06C39">
        <w:rPr>
          <w:rFonts w:asciiTheme="minorHAnsi" w:hAnsiTheme="minorHAnsi" w:cstheme="minorHAnsi"/>
          <w:sz w:val="20"/>
          <w:szCs w:val="20"/>
        </w:rPr>
        <w:t xml:space="preserve">There is a significant cumulative toll on the mental wellbeing of children in Syria with immediate and lifelong consequences. </w:t>
      </w:r>
    </w:p>
    <w:p w:rsidRPr="00B06C39" w:rsidR="00C62BDA" w:rsidP="00EA1163" w:rsidRDefault="00C62BDA" w14:paraId="338168CF" w14:textId="74BD6C1E">
      <w:pPr>
        <w:pStyle w:val="ListParagraph"/>
        <w:numPr>
          <w:ilvl w:val="0"/>
          <w:numId w:val="19"/>
        </w:numPr>
        <w:spacing w:before="240" w:after="240"/>
        <w:contextualSpacing/>
        <w:jc w:val="both"/>
        <w:rPr>
          <w:rFonts w:asciiTheme="minorHAnsi" w:hAnsiTheme="minorHAnsi" w:cstheme="minorHAnsi"/>
          <w:sz w:val="20"/>
          <w:szCs w:val="20"/>
        </w:rPr>
      </w:pPr>
      <w:r w:rsidRPr="00B06C39">
        <w:rPr>
          <w:rFonts w:asciiTheme="minorHAnsi" w:hAnsiTheme="minorHAnsi" w:cstheme="minorHAnsi"/>
          <w:sz w:val="20"/>
          <w:szCs w:val="20"/>
        </w:rPr>
        <w:t xml:space="preserve">Parenting </w:t>
      </w:r>
      <w:proofErr w:type="spellStart"/>
      <w:r w:rsidRPr="00B06C39">
        <w:rPr>
          <w:rFonts w:asciiTheme="minorHAnsi" w:hAnsiTheme="minorHAnsi" w:cstheme="minorHAnsi"/>
          <w:sz w:val="20"/>
          <w:szCs w:val="20"/>
        </w:rPr>
        <w:t>programmes</w:t>
      </w:r>
      <w:proofErr w:type="spellEnd"/>
      <w:r w:rsidRPr="00B06C39">
        <w:rPr>
          <w:rFonts w:asciiTheme="minorHAnsi" w:hAnsiTheme="minorHAnsi" w:cstheme="minorHAnsi"/>
          <w:sz w:val="20"/>
          <w:szCs w:val="20"/>
        </w:rPr>
        <w:t xml:space="preserve"> and specialized child protection services including case management of most severe child protection cases including CAAFAG cases, VAC cases as well as unaccompanied and separated children amongst other. </w:t>
      </w:r>
    </w:p>
    <w:p w:rsidRPr="00B06C39" w:rsidR="00C62BDA" w:rsidP="00EA1163" w:rsidRDefault="00C62BDA" w14:paraId="069EAD7C" w14:textId="169F4C0E">
      <w:pPr>
        <w:pStyle w:val="ListParagraph"/>
        <w:numPr>
          <w:ilvl w:val="0"/>
          <w:numId w:val="19"/>
        </w:numPr>
        <w:spacing w:before="240" w:after="240"/>
        <w:contextualSpacing/>
        <w:jc w:val="both"/>
        <w:rPr>
          <w:rFonts w:asciiTheme="minorHAnsi" w:hAnsiTheme="minorHAnsi" w:cstheme="minorHAnsi"/>
          <w:sz w:val="20"/>
          <w:szCs w:val="20"/>
        </w:rPr>
      </w:pPr>
      <w:r w:rsidRPr="00B06C39">
        <w:rPr>
          <w:rFonts w:asciiTheme="minorHAnsi" w:hAnsiTheme="minorHAnsi" w:cstheme="minorHAnsi"/>
          <w:sz w:val="20"/>
          <w:szCs w:val="20"/>
        </w:rPr>
        <w:t xml:space="preserve">The closure of Women and Girls Safe Spaces (WGSS), leaving GBV survivors and women and girls at risk with nowhere to seek lifesaving specialized services. It also meant limited possibilities to expand beyond the continuity/sustainability of available services. </w:t>
      </w:r>
    </w:p>
    <w:p w:rsidRPr="009D5235" w:rsidR="00C62BDA" w:rsidP="009D5235" w:rsidRDefault="00C62BDA" w14:paraId="07D5A854" w14:textId="44C7B97C">
      <w:pPr>
        <w:pStyle w:val="ListParagraph"/>
        <w:numPr>
          <w:ilvl w:val="0"/>
          <w:numId w:val="19"/>
        </w:numPr>
        <w:spacing w:before="240" w:after="240"/>
        <w:contextualSpacing/>
        <w:jc w:val="both"/>
        <w:rPr>
          <w:rFonts w:asciiTheme="minorHAnsi" w:hAnsiTheme="minorHAnsi" w:cstheme="minorHAnsi"/>
          <w:sz w:val="20"/>
          <w:szCs w:val="20"/>
        </w:rPr>
      </w:pPr>
      <w:r w:rsidRPr="00B06C39">
        <w:rPr>
          <w:rFonts w:asciiTheme="minorHAnsi" w:hAnsiTheme="minorHAnsi" w:cstheme="minorHAnsi"/>
          <w:sz w:val="20"/>
          <w:szCs w:val="20"/>
        </w:rPr>
        <w:t xml:space="preserve">COVID-19 restrictions have disrupted several critical protection services, particularly specialized services, and created new risks primarily around freedom of movement, increased GBV, especially intimate partner and family violence, mental health and psycho-social needs, increased negative coping mechanisms including violence against women and children, child </w:t>
      </w:r>
      <w:proofErr w:type="spellStart"/>
      <w:r w:rsidRPr="00B06C39">
        <w:rPr>
          <w:rFonts w:asciiTheme="minorHAnsi" w:hAnsiTheme="minorHAnsi" w:cstheme="minorHAnsi"/>
          <w:sz w:val="20"/>
          <w:szCs w:val="20"/>
        </w:rPr>
        <w:t>labour</w:t>
      </w:r>
      <w:proofErr w:type="spellEnd"/>
      <w:r w:rsidRPr="00B06C39">
        <w:rPr>
          <w:rFonts w:asciiTheme="minorHAnsi" w:hAnsiTheme="minorHAnsi" w:cstheme="minorHAnsi"/>
          <w:sz w:val="20"/>
          <w:szCs w:val="20"/>
        </w:rPr>
        <w:t xml:space="preserve"> including its worst forms, with heightened impact on those already vulnerable. Due to COVID-19 impact on activities and </w:t>
      </w:r>
      <w:proofErr w:type="spellStart"/>
      <w:r w:rsidRPr="00B06C39">
        <w:rPr>
          <w:rFonts w:asciiTheme="minorHAnsi" w:hAnsiTheme="minorHAnsi" w:cstheme="minorHAnsi"/>
          <w:sz w:val="20"/>
          <w:szCs w:val="20"/>
        </w:rPr>
        <w:t>standdown</w:t>
      </w:r>
      <w:proofErr w:type="spellEnd"/>
      <w:r w:rsidRPr="00B06C39">
        <w:rPr>
          <w:rFonts w:asciiTheme="minorHAnsi" w:hAnsiTheme="minorHAnsi" w:cstheme="minorHAnsi"/>
          <w:sz w:val="20"/>
          <w:szCs w:val="20"/>
        </w:rPr>
        <w:t xml:space="preserve"> of partners, more than 70 per cent of key informants had not attended</w:t>
      </w:r>
      <w:r w:rsidRPr="00B06C39" w:rsidDel="00B96113">
        <w:rPr>
          <w:rFonts w:asciiTheme="minorHAnsi" w:hAnsiTheme="minorHAnsi" w:cstheme="minorHAnsi"/>
          <w:sz w:val="20"/>
          <w:szCs w:val="20"/>
        </w:rPr>
        <w:t xml:space="preserve"> </w:t>
      </w:r>
      <w:r w:rsidRPr="00B06C39">
        <w:rPr>
          <w:rFonts w:asciiTheme="minorHAnsi" w:hAnsiTheme="minorHAnsi" w:cstheme="minorHAnsi"/>
          <w:sz w:val="20"/>
          <w:szCs w:val="20"/>
        </w:rPr>
        <w:t>explosive ordnance risk education sessions between May and August 2020.</w:t>
      </w:r>
    </w:p>
    <w:p w:rsidRPr="00B06C39" w:rsidR="000355D3" w:rsidP="000355D3" w:rsidRDefault="000355D3" w14:paraId="4D92FC36" w14:textId="77777777">
      <w:pPr>
        <w:pStyle w:val="ListParagraph"/>
        <w:spacing w:before="240" w:after="240"/>
        <w:ind w:left="360"/>
        <w:contextualSpacing/>
        <w:jc w:val="both"/>
        <w:rPr>
          <w:rFonts w:asciiTheme="minorHAnsi" w:hAnsiTheme="minorHAnsi" w:cstheme="minorHAnsi"/>
          <w:sz w:val="20"/>
          <w:szCs w:val="20"/>
        </w:rPr>
      </w:pPr>
    </w:p>
    <w:p w:rsidRPr="00B06C39" w:rsidR="00C62BDA" w:rsidP="00EA1163" w:rsidRDefault="00C62BDA" w14:paraId="6D580D98" w14:textId="77777777">
      <w:pPr>
        <w:pStyle w:val="ListParagraph"/>
        <w:numPr>
          <w:ilvl w:val="0"/>
          <w:numId w:val="18"/>
        </w:numPr>
        <w:spacing w:after="160"/>
        <w:contextualSpacing/>
        <w:rPr>
          <w:rFonts w:asciiTheme="minorHAnsi" w:hAnsiTheme="minorHAnsi" w:cstheme="minorHAnsi"/>
          <w:color w:val="1155CC"/>
          <w:sz w:val="20"/>
          <w:szCs w:val="20"/>
        </w:rPr>
      </w:pPr>
      <w:r w:rsidRPr="00B06C39">
        <w:rPr>
          <w:rFonts w:asciiTheme="minorHAnsi" w:hAnsiTheme="minorHAnsi" w:cstheme="minorHAnsi"/>
          <w:b/>
          <w:bCs/>
          <w:sz w:val="20"/>
          <w:szCs w:val="20"/>
        </w:rPr>
        <w:t xml:space="preserve">Critical sector priorities in 2021:   </w:t>
      </w:r>
    </w:p>
    <w:p w:rsidRPr="00B06C39" w:rsidR="00C62BDA" w:rsidP="00C62BDA" w:rsidRDefault="00C62BDA" w14:paraId="660E6B37" w14:textId="4099ECF1">
      <w:pPr>
        <w:numPr>
          <w:ilvl w:val="0"/>
          <w:numId w:val="20"/>
        </w:numPr>
        <w:spacing w:after="0" w:line="240" w:lineRule="auto"/>
        <w:jc w:val="both"/>
        <w:rPr>
          <w:rFonts w:cstheme="minorHAnsi"/>
          <w:sz w:val="20"/>
          <w:szCs w:val="20"/>
        </w:rPr>
      </w:pPr>
      <w:r w:rsidRPr="00B06C39">
        <w:rPr>
          <w:rFonts w:cstheme="minorHAnsi"/>
          <w:sz w:val="20"/>
          <w:szCs w:val="20"/>
        </w:rPr>
        <w:t xml:space="preserve">Protection will continue to expand the offer of integrated protection services through Community </w:t>
      </w:r>
      <w:proofErr w:type="spellStart"/>
      <w:r w:rsidRPr="00B06C39">
        <w:rPr>
          <w:rFonts w:cstheme="minorHAnsi"/>
          <w:sz w:val="20"/>
          <w:szCs w:val="20"/>
        </w:rPr>
        <w:t>Centres</w:t>
      </w:r>
      <w:proofErr w:type="spellEnd"/>
      <w:r w:rsidRPr="00B06C39">
        <w:rPr>
          <w:rFonts w:cstheme="minorHAnsi"/>
          <w:sz w:val="20"/>
          <w:szCs w:val="20"/>
        </w:rPr>
        <w:t xml:space="preserve"> including increase of Women and Girls Safe Spaces, child protection facilities and services’ platform.</w:t>
      </w:r>
    </w:p>
    <w:p w:rsidRPr="00B06C39" w:rsidR="00C62BDA" w:rsidP="00C62BDA" w:rsidRDefault="00C62BDA" w14:paraId="52340581" w14:textId="77777777">
      <w:pPr>
        <w:numPr>
          <w:ilvl w:val="0"/>
          <w:numId w:val="20"/>
        </w:numPr>
        <w:spacing w:after="0" w:line="240" w:lineRule="auto"/>
        <w:jc w:val="both"/>
        <w:rPr>
          <w:rFonts w:cstheme="minorHAnsi"/>
          <w:sz w:val="20"/>
          <w:szCs w:val="20"/>
        </w:rPr>
      </w:pPr>
      <w:r w:rsidRPr="00B06C39">
        <w:rPr>
          <w:rFonts w:cstheme="minorHAnsi"/>
          <w:sz w:val="20"/>
          <w:szCs w:val="20"/>
        </w:rPr>
        <w:t>To increase mobile outreach capacity to respond more effectively to protection need. This includes the expansion of the number of Outreach Volunteers; the expansion of Mobile Units integrating Reproductive Health and GBV response, and the strengthening of mobile modalities to provide protective services for children</w:t>
      </w:r>
    </w:p>
    <w:p w:rsidRPr="00B06C39" w:rsidR="00C62BDA" w:rsidP="00C62BDA" w:rsidRDefault="00C62BDA" w14:paraId="30C40E9D" w14:textId="30161B78">
      <w:pPr>
        <w:numPr>
          <w:ilvl w:val="0"/>
          <w:numId w:val="20"/>
        </w:numPr>
        <w:spacing w:after="0" w:line="240" w:lineRule="auto"/>
        <w:jc w:val="both"/>
        <w:rPr>
          <w:rFonts w:cstheme="minorHAnsi"/>
          <w:sz w:val="20"/>
          <w:szCs w:val="20"/>
        </w:rPr>
      </w:pPr>
      <w:r w:rsidRPr="00B06C39">
        <w:rPr>
          <w:rFonts w:cstheme="minorHAnsi"/>
          <w:sz w:val="20"/>
          <w:szCs w:val="20"/>
        </w:rPr>
        <w:t>The sector will expand legal awareness and counselling on civil documentation and HLP issues including technical support to responsible institutions</w:t>
      </w:r>
    </w:p>
    <w:p w:rsidRPr="00B06C39" w:rsidR="00C62BDA" w:rsidP="00C62BDA" w:rsidRDefault="00C62BDA" w14:paraId="6C717453" w14:textId="79BCEEE3">
      <w:pPr>
        <w:numPr>
          <w:ilvl w:val="0"/>
          <w:numId w:val="20"/>
        </w:numPr>
        <w:spacing w:after="0" w:line="240" w:lineRule="auto"/>
        <w:jc w:val="both"/>
        <w:rPr>
          <w:rFonts w:cstheme="minorHAnsi"/>
          <w:sz w:val="20"/>
          <w:szCs w:val="20"/>
        </w:rPr>
      </w:pPr>
      <w:r w:rsidRPr="00B06C39">
        <w:rPr>
          <w:rFonts w:cstheme="minorHAnsi"/>
          <w:sz w:val="20"/>
          <w:szCs w:val="20"/>
        </w:rPr>
        <w:t xml:space="preserve">To strengthen referral mechanisms to increase access to specialized care and support, including scaling up specialized support to survivors of explosive ordnance incidents, child protection cases, GBV survivors and </w:t>
      </w:r>
    </w:p>
    <w:p w:rsidRPr="00B06C39" w:rsidR="00C62BDA" w:rsidP="00C62BDA" w:rsidRDefault="00C62BDA" w14:paraId="2F7A96FB" w14:textId="77777777">
      <w:pPr>
        <w:numPr>
          <w:ilvl w:val="0"/>
          <w:numId w:val="20"/>
        </w:numPr>
        <w:spacing w:after="0" w:line="240" w:lineRule="auto"/>
        <w:jc w:val="both"/>
        <w:rPr>
          <w:rFonts w:cstheme="minorHAnsi"/>
          <w:sz w:val="20"/>
          <w:szCs w:val="20"/>
        </w:rPr>
      </w:pPr>
      <w:r w:rsidRPr="00B06C39">
        <w:rPr>
          <w:rFonts w:cstheme="minorHAnsi"/>
          <w:sz w:val="20"/>
          <w:szCs w:val="20"/>
        </w:rPr>
        <w:t>women and girls at risk, including people with disabilities, adolescent girls, widows/divorced women and girls, older women.</w:t>
      </w:r>
    </w:p>
    <w:p w:rsidRPr="00B06C39" w:rsidR="00C62BDA" w:rsidP="00C62BDA" w:rsidRDefault="00C62BDA" w14:paraId="0CFED58E" w14:textId="60256742">
      <w:pPr>
        <w:numPr>
          <w:ilvl w:val="0"/>
          <w:numId w:val="20"/>
        </w:numPr>
        <w:spacing w:after="0" w:line="240" w:lineRule="auto"/>
        <w:jc w:val="both"/>
        <w:rPr>
          <w:rFonts w:cstheme="minorHAnsi"/>
          <w:sz w:val="20"/>
          <w:szCs w:val="20"/>
        </w:rPr>
      </w:pPr>
      <w:r w:rsidRPr="00B06C39">
        <w:rPr>
          <w:rFonts w:cstheme="minorHAnsi"/>
          <w:sz w:val="20"/>
          <w:szCs w:val="20"/>
        </w:rPr>
        <w:t>Improving the quality of community-based Child Protection</w:t>
      </w:r>
      <w:r w:rsidRPr="00B06C39" w:rsidDel="00B96113">
        <w:rPr>
          <w:rFonts w:cstheme="minorHAnsi"/>
          <w:sz w:val="20"/>
          <w:szCs w:val="20"/>
        </w:rPr>
        <w:t xml:space="preserve"> </w:t>
      </w:r>
      <w:r w:rsidRPr="00B06C39">
        <w:rPr>
          <w:rFonts w:cstheme="minorHAnsi"/>
          <w:sz w:val="20"/>
          <w:szCs w:val="20"/>
        </w:rPr>
        <w:t xml:space="preserve">interventions which include Psychosocial support, Community Awareness and Parenting </w:t>
      </w:r>
      <w:proofErr w:type="spellStart"/>
      <w:r w:rsidRPr="00B06C39">
        <w:rPr>
          <w:rFonts w:cstheme="minorHAnsi"/>
          <w:sz w:val="20"/>
          <w:szCs w:val="20"/>
        </w:rPr>
        <w:t>Programmes</w:t>
      </w:r>
      <w:proofErr w:type="spellEnd"/>
      <w:r w:rsidRPr="00B06C39">
        <w:rPr>
          <w:rFonts w:cstheme="minorHAnsi"/>
          <w:sz w:val="20"/>
          <w:szCs w:val="20"/>
        </w:rPr>
        <w:t xml:space="preserve"> </w:t>
      </w:r>
    </w:p>
    <w:p w:rsidRPr="00B06C39" w:rsidR="00C62BDA" w:rsidP="00C62BDA" w:rsidRDefault="00C62BDA" w14:paraId="27536F2C" w14:textId="316E5CBC">
      <w:pPr>
        <w:numPr>
          <w:ilvl w:val="0"/>
          <w:numId w:val="20"/>
        </w:numPr>
        <w:spacing w:after="0" w:line="240" w:lineRule="auto"/>
        <w:jc w:val="both"/>
        <w:rPr>
          <w:rFonts w:cstheme="minorHAnsi"/>
          <w:sz w:val="20"/>
          <w:szCs w:val="20"/>
        </w:rPr>
      </w:pPr>
      <w:r w:rsidRPr="00B06C39">
        <w:rPr>
          <w:rFonts w:cstheme="minorHAnsi"/>
          <w:sz w:val="20"/>
          <w:szCs w:val="20"/>
        </w:rPr>
        <w:t xml:space="preserve">Expanding the reach and improving the quality of specialized Child Protection (CP) services which include CP </w:t>
      </w:r>
      <w:r w:rsidRPr="00B06C39" w:rsidDel="00A03269">
        <w:rPr>
          <w:rFonts w:cstheme="minorHAnsi"/>
          <w:sz w:val="20"/>
          <w:szCs w:val="20"/>
        </w:rPr>
        <w:t xml:space="preserve">Case </w:t>
      </w:r>
      <w:r w:rsidRPr="00B06C39">
        <w:rPr>
          <w:rFonts w:cstheme="minorHAnsi"/>
          <w:sz w:val="20"/>
          <w:szCs w:val="20"/>
        </w:rPr>
        <w:t>Management for</w:t>
      </w:r>
      <w:r w:rsidRPr="00B06C39" w:rsidDel="00A03269">
        <w:rPr>
          <w:rFonts w:cstheme="minorHAnsi"/>
          <w:sz w:val="20"/>
          <w:szCs w:val="20"/>
        </w:rPr>
        <w:t xml:space="preserve"> </w:t>
      </w:r>
      <w:r w:rsidRPr="00B06C39">
        <w:rPr>
          <w:rFonts w:cstheme="minorHAnsi"/>
          <w:sz w:val="20"/>
          <w:szCs w:val="20"/>
        </w:rPr>
        <w:t xml:space="preserve">CAAFAG cases, child </w:t>
      </w:r>
      <w:proofErr w:type="spellStart"/>
      <w:r w:rsidRPr="00B06C39">
        <w:rPr>
          <w:rFonts w:cstheme="minorHAnsi"/>
          <w:sz w:val="20"/>
          <w:szCs w:val="20"/>
        </w:rPr>
        <w:t>labour</w:t>
      </w:r>
      <w:proofErr w:type="spellEnd"/>
      <w:r w:rsidRPr="00B06C39">
        <w:rPr>
          <w:rFonts w:cstheme="minorHAnsi"/>
          <w:sz w:val="20"/>
          <w:szCs w:val="20"/>
        </w:rPr>
        <w:t>, unaccompanied and separated children   as well as children survivors of violence, exploitation and abuse.</w:t>
      </w:r>
    </w:p>
    <w:p w:rsidRPr="00B06C39" w:rsidR="00C62BDA" w:rsidP="00C62BDA" w:rsidRDefault="00C62BDA" w14:paraId="46DCA282" w14:textId="7BFF8AF0">
      <w:pPr>
        <w:numPr>
          <w:ilvl w:val="0"/>
          <w:numId w:val="20"/>
        </w:numPr>
        <w:spacing w:after="0" w:line="240" w:lineRule="auto"/>
        <w:jc w:val="both"/>
        <w:rPr>
          <w:rFonts w:cstheme="minorHAnsi"/>
          <w:sz w:val="20"/>
          <w:szCs w:val="20"/>
        </w:rPr>
      </w:pPr>
      <w:r w:rsidRPr="00B06C39">
        <w:rPr>
          <w:rFonts w:cstheme="minorHAnsi"/>
          <w:sz w:val="20"/>
          <w:szCs w:val="20"/>
        </w:rPr>
        <w:t xml:space="preserve">Capacity building of </w:t>
      </w:r>
      <w:r w:rsidRPr="00B06C39" w:rsidDel="00A03269">
        <w:rPr>
          <w:rFonts w:cstheme="minorHAnsi"/>
          <w:sz w:val="20"/>
          <w:szCs w:val="20"/>
        </w:rPr>
        <w:t>front</w:t>
      </w:r>
      <w:r w:rsidRPr="00B06C39">
        <w:rPr>
          <w:rFonts w:cstheme="minorHAnsi"/>
          <w:sz w:val="20"/>
          <w:szCs w:val="20"/>
        </w:rPr>
        <w:t>-line CP respondents in conformity with the Child Protection Minimum Standards (CPMS).</w:t>
      </w:r>
    </w:p>
    <w:p w:rsidRPr="00B06C39" w:rsidR="00C62BDA" w:rsidP="00C62BDA" w:rsidRDefault="00C62BDA" w14:paraId="19531F8F" w14:textId="77777777">
      <w:pPr>
        <w:numPr>
          <w:ilvl w:val="0"/>
          <w:numId w:val="20"/>
        </w:numPr>
        <w:spacing w:after="0" w:line="240" w:lineRule="auto"/>
        <w:jc w:val="both"/>
        <w:rPr>
          <w:rFonts w:cstheme="minorHAnsi"/>
          <w:sz w:val="20"/>
          <w:szCs w:val="20"/>
        </w:rPr>
      </w:pPr>
      <w:r w:rsidRPr="00B06C39">
        <w:rPr>
          <w:rFonts w:cstheme="minorHAnsi"/>
          <w:sz w:val="20"/>
          <w:szCs w:val="20"/>
        </w:rPr>
        <w:t xml:space="preserve">Focus on expansion of alternative and remote modalities for explosive ordnance awareness, behavior change messages, </w:t>
      </w:r>
      <w:r w:rsidRPr="00B06C39">
        <w:rPr>
          <w:rFonts w:eastAsia="Arial" w:cstheme="minorHAnsi"/>
          <w:color w:val="000000"/>
          <w:sz w:val="20"/>
          <w:szCs w:val="20"/>
        </w:rPr>
        <w:t>protection, CP, MA, GBV service provision.</w:t>
      </w:r>
    </w:p>
    <w:p w:rsidRPr="00B06C39" w:rsidR="00C62BDA" w:rsidP="00C62BDA" w:rsidRDefault="00C62BDA" w14:paraId="24EE6B9F" w14:textId="77777777">
      <w:pPr>
        <w:numPr>
          <w:ilvl w:val="0"/>
          <w:numId w:val="20"/>
        </w:numPr>
        <w:spacing w:after="0" w:line="240" w:lineRule="auto"/>
        <w:jc w:val="both"/>
        <w:rPr>
          <w:rFonts w:cstheme="minorHAnsi"/>
          <w:sz w:val="20"/>
          <w:szCs w:val="20"/>
        </w:rPr>
      </w:pPr>
      <w:r w:rsidRPr="00B06C39">
        <w:rPr>
          <w:rFonts w:cstheme="minorHAnsi"/>
          <w:sz w:val="20"/>
          <w:szCs w:val="20"/>
        </w:rPr>
        <w:t>Continue the distribution of life-saving Dignity Kits to GBV survivors and women and girls at risk and increase the use of Cash and Voucher Assistance for GBV risk mitigation as well as a response modality (within the framework of case management).</w:t>
      </w:r>
    </w:p>
    <w:p w:rsidRPr="00B06C39" w:rsidR="00C62BDA" w:rsidP="00C62BDA" w:rsidRDefault="00C62BDA" w14:paraId="69A36EDA" w14:textId="77777777">
      <w:pPr>
        <w:numPr>
          <w:ilvl w:val="0"/>
          <w:numId w:val="20"/>
        </w:numPr>
        <w:spacing w:after="0" w:line="240" w:lineRule="auto"/>
        <w:jc w:val="both"/>
        <w:rPr>
          <w:rFonts w:cstheme="minorHAnsi"/>
          <w:sz w:val="20"/>
          <w:szCs w:val="20"/>
        </w:rPr>
      </w:pPr>
      <w:r w:rsidRPr="00B06C39">
        <w:rPr>
          <w:rFonts w:cstheme="minorHAnsi"/>
          <w:sz w:val="20"/>
          <w:szCs w:val="20"/>
        </w:rPr>
        <w:t>Continue to focus on gender transformative approaches to GBV programming and to social norms change interventions.</w:t>
      </w:r>
    </w:p>
    <w:p w:rsidRPr="00B06C39" w:rsidR="00C62BDA" w:rsidP="00C62BDA" w:rsidRDefault="00C62BDA" w14:paraId="3DE094F6" w14:textId="77777777">
      <w:pPr>
        <w:numPr>
          <w:ilvl w:val="0"/>
          <w:numId w:val="20"/>
        </w:numPr>
        <w:spacing w:after="0" w:line="240" w:lineRule="auto"/>
        <w:jc w:val="both"/>
        <w:rPr>
          <w:rFonts w:cstheme="minorHAnsi"/>
          <w:sz w:val="20"/>
          <w:szCs w:val="20"/>
        </w:rPr>
      </w:pPr>
      <w:r w:rsidRPr="00B06C39">
        <w:rPr>
          <w:rFonts w:cstheme="minorHAnsi"/>
          <w:sz w:val="20"/>
          <w:szCs w:val="20"/>
        </w:rPr>
        <w:t>Continue to technically support GBV risk mitigation in other sectors and to push for GBV to be non-negotiable in the Syria response.</w:t>
      </w:r>
    </w:p>
    <w:p w:rsidRPr="00B06C39" w:rsidR="00C62BDA" w:rsidP="00C62BDA" w:rsidRDefault="00C62BDA" w14:paraId="6BBF6D31" w14:textId="77777777">
      <w:pPr>
        <w:pStyle w:val="ListParagraph"/>
        <w:jc w:val="both"/>
        <w:rPr>
          <w:rFonts w:asciiTheme="minorHAnsi" w:hAnsiTheme="minorHAnsi" w:cstheme="minorHAnsi"/>
          <w:sz w:val="20"/>
          <w:szCs w:val="20"/>
        </w:rPr>
      </w:pPr>
    </w:p>
    <w:p w:rsidRPr="00B06C39" w:rsidR="00C62BDA" w:rsidP="00EA1163" w:rsidRDefault="00C62BDA" w14:paraId="353E1102" w14:textId="4F0996B1">
      <w:pPr>
        <w:pStyle w:val="ListParagraph"/>
        <w:numPr>
          <w:ilvl w:val="0"/>
          <w:numId w:val="18"/>
        </w:numPr>
        <w:spacing w:after="160"/>
        <w:contextualSpacing/>
        <w:jc w:val="both"/>
        <w:rPr>
          <w:rFonts w:asciiTheme="minorHAnsi" w:hAnsiTheme="minorHAnsi" w:cstheme="minorHAnsi"/>
          <w:color w:val="FF0000"/>
          <w:sz w:val="20"/>
          <w:szCs w:val="20"/>
        </w:rPr>
      </w:pPr>
      <w:r w:rsidRPr="00B06C39">
        <w:rPr>
          <w:rFonts w:asciiTheme="minorHAnsi" w:hAnsiTheme="minorHAnsi" w:cstheme="minorHAnsi"/>
          <w:b/>
          <w:bCs/>
          <w:sz w:val="20"/>
          <w:szCs w:val="20"/>
        </w:rPr>
        <w:t xml:space="preserve">Key messages to donors as at June 2021 (which the HCs could help amplify): </w:t>
      </w:r>
    </w:p>
    <w:p w:rsidRPr="00B06C39" w:rsidR="00C62BDA" w:rsidP="00EA1163" w:rsidRDefault="00C62BDA" w14:paraId="291F5597" w14:textId="77777777">
      <w:pPr>
        <w:numPr>
          <w:ilvl w:val="0"/>
          <w:numId w:val="21"/>
        </w:numPr>
        <w:spacing w:after="0" w:line="240" w:lineRule="auto"/>
        <w:jc w:val="both"/>
        <w:rPr>
          <w:rFonts w:cstheme="minorHAnsi"/>
          <w:sz w:val="20"/>
          <w:szCs w:val="20"/>
        </w:rPr>
      </w:pPr>
      <w:r w:rsidRPr="00B06C39">
        <w:rPr>
          <w:rFonts w:cstheme="minorHAnsi"/>
          <w:sz w:val="20"/>
          <w:szCs w:val="20"/>
        </w:rPr>
        <w:t>Predictability and sustainability of funding for the full range of protection activities in all parts of Syria. This is vital to support approaches that are holistic and responsive to the needs of communities.</w:t>
      </w:r>
    </w:p>
    <w:p w:rsidRPr="00B06C39" w:rsidR="00C62BDA" w:rsidP="00EA1163" w:rsidRDefault="00C62BDA" w14:paraId="32234FDB" w14:textId="77777777">
      <w:pPr>
        <w:numPr>
          <w:ilvl w:val="0"/>
          <w:numId w:val="21"/>
        </w:numPr>
        <w:spacing w:after="0" w:line="240" w:lineRule="auto"/>
        <w:jc w:val="both"/>
        <w:rPr>
          <w:rFonts w:cstheme="minorHAnsi"/>
          <w:sz w:val="20"/>
          <w:szCs w:val="20"/>
        </w:rPr>
      </w:pPr>
      <w:r w:rsidRPr="00B06C39">
        <w:rPr>
          <w:rFonts w:cstheme="minorHAnsi"/>
          <w:sz w:val="20"/>
          <w:szCs w:val="20"/>
        </w:rPr>
        <w:t>Increase attention and commitment at all levels for the collective responsibility to address and mitigate the risks of gender-based violence.</w:t>
      </w:r>
    </w:p>
    <w:p w:rsidRPr="00B06C39" w:rsidR="00C62BDA" w:rsidP="00EA1163" w:rsidRDefault="00C62BDA" w14:paraId="0618BDC8" w14:textId="29513E4E">
      <w:pPr>
        <w:numPr>
          <w:ilvl w:val="0"/>
          <w:numId w:val="21"/>
        </w:numPr>
        <w:spacing w:after="0" w:line="240" w:lineRule="auto"/>
        <w:jc w:val="both"/>
        <w:rPr>
          <w:rFonts w:cstheme="minorHAnsi"/>
          <w:sz w:val="20"/>
          <w:szCs w:val="20"/>
        </w:rPr>
      </w:pPr>
      <w:r w:rsidRPr="00B06C39">
        <w:rPr>
          <w:rFonts w:cstheme="minorHAnsi"/>
          <w:sz w:val="20"/>
          <w:szCs w:val="20"/>
        </w:rPr>
        <w:t xml:space="preserve">Scale-up support to </w:t>
      </w:r>
      <w:proofErr w:type="spellStart"/>
      <w:r w:rsidRPr="00B06C39">
        <w:rPr>
          <w:rFonts w:cstheme="minorHAnsi"/>
          <w:sz w:val="20"/>
          <w:szCs w:val="20"/>
        </w:rPr>
        <w:t>specialised</w:t>
      </w:r>
      <w:proofErr w:type="spellEnd"/>
      <w:r w:rsidRPr="00B06C39">
        <w:rPr>
          <w:rFonts w:cstheme="minorHAnsi"/>
          <w:sz w:val="20"/>
          <w:szCs w:val="20"/>
        </w:rPr>
        <w:t xml:space="preserve"> child protection services including case management for children at risk or associated with armed groups/forces and children at risk or survivors of violence, abuse and exploitation. Give due consideration to qualitative information when evaluating protection activities as they cannot be viewed simply through numbers.</w:t>
      </w:r>
    </w:p>
    <w:p w:rsidRPr="00B06C39" w:rsidR="00C62BDA" w:rsidP="00EA1163" w:rsidRDefault="00C62BDA" w14:paraId="7E3551FB" w14:textId="4A7768CF">
      <w:pPr>
        <w:numPr>
          <w:ilvl w:val="0"/>
          <w:numId w:val="21"/>
        </w:numPr>
        <w:spacing w:after="0" w:line="240" w:lineRule="auto"/>
        <w:jc w:val="both"/>
        <w:rPr>
          <w:rFonts w:cstheme="minorHAnsi"/>
          <w:b/>
          <w:sz w:val="20"/>
          <w:szCs w:val="20"/>
        </w:rPr>
      </w:pPr>
      <w:r w:rsidRPr="00B06C39">
        <w:rPr>
          <w:rFonts w:cstheme="minorHAnsi"/>
          <w:sz w:val="20"/>
          <w:szCs w:val="20"/>
        </w:rPr>
        <w:t xml:space="preserve">Advocate with all relevant authorities for unfettered humanitarian access across Syria through all necessary modalities.  </w:t>
      </w:r>
    </w:p>
    <w:p w:rsidRPr="00B06C39" w:rsidR="00C62BDA" w:rsidP="00EA1163" w:rsidRDefault="00C62BDA" w14:paraId="645F1F29" w14:textId="65364BEC">
      <w:pPr>
        <w:numPr>
          <w:ilvl w:val="0"/>
          <w:numId w:val="21"/>
        </w:numPr>
        <w:spacing w:after="0" w:line="240" w:lineRule="auto"/>
        <w:jc w:val="both"/>
        <w:rPr>
          <w:rFonts w:eastAsia="Times New Roman" w:cstheme="minorHAnsi"/>
          <w:sz w:val="20"/>
          <w:szCs w:val="20"/>
        </w:rPr>
      </w:pPr>
      <w:r w:rsidRPr="00B06C39">
        <w:rPr>
          <w:rFonts w:cstheme="minorHAnsi"/>
          <w:sz w:val="20"/>
          <w:szCs w:val="20"/>
        </w:rPr>
        <w:t xml:space="preserve">Child Protection interventions require children to complete cycles to be effective.  Hence the need for consistency, continuity and funding predictability. Considering that children continue to pay the highest toll in this conflict, underfunding will translate into direct inability of child protection actors to reach children in need as well </w:t>
      </w:r>
      <w:proofErr w:type="gramStart"/>
      <w:r w:rsidRPr="00B06C39">
        <w:rPr>
          <w:rFonts w:cstheme="minorHAnsi"/>
          <w:sz w:val="20"/>
          <w:szCs w:val="20"/>
        </w:rPr>
        <w:t>as  interruptions</w:t>
      </w:r>
      <w:proofErr w:type="gramEnd"/>
      <w:r w:rsidRPr="00B06C39">
        <w:rPr>
          <w:rFonts w:cstheme="minorHAnsi"/>
          <w:sz w:val="20"/>
          <w:szCs w:val="20"/>
        </w:rPr>
        <w:t xml:space="preserve"> in the interventions with immediate and if not addressed, lifelong consequences.</w:t>
      </w:r>
    </w:p>
    <w:p w:rsidRPr="00B06C39" w:rsidR="00C62BDA" w:rsidP="00EA1163" w:rsidRDefault="00C62BDA" w14:paraId="303B4CC0" w14:textId="77777777">
      <w:pPr>
        <w:numPr>
          <w:ilvl w:val="0"/>
          <w:numId w:val="21"/>
        </w:numPr>
        <w:spacing w:after="0" w:line="240" w:lineRule="auto"/>
        <w:jc w:val="both"/>
        <w:rPr>
          <w:rFonts w:cstheme="minorHAnsi"/>
          <w:b/>
          <w:sz w:val="20"/>
          <w:szCs w:val="20"/>
        </w:rPr>
      </w:pPr>
      <w:r w:rsidRPr="00B06C39">
        <w:rPr>
          <w:rFonts w:cstheme="minorHAnsi"/>
          <w:sz w:val="20"/>
          <w:szCs w:val="20"/>
        </w:rPr>
        <w:t xml:space="preserve">Sustained advocacy and support to humanitarian mine action operators for access and implementation of survey and clearance activities </w:t>
      </w:r>
    </w:p>
    <w:p w:rsidRPr="00B06C39" w:rsidR="00C62BDA" w:rsidP="00EA1163" w:rsidRDefault="00C62BDA" w14:paraId="6DFC27F5" w14:textId="77777777">
      <w:pPr>
        <w:numPr>
          <w:ilvl w:val="0"/>
          <w:numId w:val="21"/>
        </w:numPr>
        <w:spacing w:after="0" w:line="240" w:lineRule="auto"/>
        <w:jc w:val="both"/>
        <w:rPr>
          <w:rFonts w:cstheme="minorHAnsi"/>
          <w:b/>
          <w:sz w:val="20"/>
          <w:szCs w:val="20"/>
        </w:rPr>
      </w:pPr>
      <w:r w:rsidRPr="00B06C39">
        <w:rPr>
          <w:rFonts w:cstheme="minorHAnsi"/>
          <w:sz w:val="20"/>
          <w:szCs w:val="20"/>
        </w:rPr>
        <w:t xml:space="preserve">Promote mainstreaming and inclusion of mine action activities across all sectors of the humanitarian response- as it is critical to reduce the risk and impact of the explosive hazard contamination on both humanitarian actors and the Syrian population   </w:t>
      </w:r>
    </w:p>
    <w:p w:rsidRPr="00B06C39" w:rsidR="00C62BDA" w:rsidP="00EA1163" w:rsidRDefault="00C62BDA" w14:paraId="7D95C368" w14:textId="77777777">
      <w:pPr>
        <w:numPr>
          <w:ilvl w:val="0"/>
          <w:numId w:val="21"/>
        </w:numPr>
        <w:spacing w:after="0" w:line="240" w:lineRule="auto"/>
        <w:jc w:val="both"/>
        <w:rPr>
          <w:rFonts w:cstheme="minorHAnsi"/>
          <w:sz w:val="20"/>
          <w:szCs w:val="20"/>
        </w:rPr>
      </w:pPr>
      <w:r w:rsidRPr="00B06C39">
        <w:rPr>
          <w:rFonts w:cstheme="minorHAnsi"/>
          <w:sz w:val="20"/>
          <w:szCs w:val="20"/>
        </w:rPr>
        <w:t xml:space="preserve">Invest not only in ensuring the sustainability of existing GBV prevention and response services, but in expanding services to cater for better accessibility and inclusion of the most at risk women and girls (women and girls with disabilities, </w:t>
      </w:r>
      <w:r w:rsidRPr="00B06C39">
        <w:rPr>
          <w:rFonts w:cstheme="minorHAnsi"/>
          <w:sz w:val="20"/>
          <w:szCs w:val="20"/>
        </w:rPr>
        <w:t xml:space="preserve">widows, divorced and single women and girls, adolescent girls, older women) as well as to increase new ways of working, such as CVA and remote/online service delivery. </w:t>
      </w:r>
    </w:p>
    <w:p w:rsidRPr="00B06C39" w:rsidR="00C62BDA" w:rsidP="00EA1163" w:rsidRDefault="00C62BDA" w14:paraId="75767213" w14:textId="77777777">
      <w:pPr>
        <w:numPr>
          <w:ilvl w:val="0"/>
          <w:numId w:val="21"/>
        </w:numPr>
        <w:spacing w:after="0" w:line="240" w:lineRule="auto"/>
        <w:jc w:val="both"/>
        <w:rPr>
          <w:rFonts w:cstheme="minorHAnsi"/>
          <w:sz w:val="20"/>
          <w:szCs w:val="20"/>
        </w:rPr>
      </w:pPr>
      <w:r w:rsidRPr="00B06C39">
        <w:rPr>
          <w:rFonts w:cstheme="minorHAnsi"/>
          <w:sz w:val="20"/>
          <w:szCs w:val="20"/>
        </w:rPr>
        <w:t>Expanding the support for social norms change and gender transformative work.</w:t>
      </w:r>
    </w:p>
    <w:p w:rsidRPr="00B06C39" w:rsidR="00F314A1" w:rsidP="00EA1163" w:rsidRDefault="00F314A1" w14:paraId="428F0677" w14:textId="2389852D">
      <w:pPr>
        <w:pBdr>
          <w:top w:val="nil"/>
          <w:left w:val="nil"/>
          <w:bottom w:val="nil"/>
          <w:right w:val="nil"/>
          <w:between w:val="nil"/>
        </w:pBdr>
        <w:spacing w:after="0" w:line="240" w:lineRule="auto"/>
        <w:rPr>
          <w:sz w:val="20"/>
          <w:szCs w:val="20"/>
        </w:rPr>
      </w:pPr>
    </w:p>
    <w:p w:rsidRPr="00B06C39" w:rsidR="00C62BDA" w:rsidP="00EA1163" w:rsidRDefault="00C62BDA" w14:paraId="79EA25FA" w14:textId="39AC4D46">
      <w:pPr>
        <w:pBdr>
          <w:top w:val="nil"/>
          <w:left w:val="nil"/>
          <w:bottom w:val="nil"/>
          <w:right w:val="nil"/>
          <w:between w:val="nil"/>
        </w:pBdr>
        <w:spacing w:line="240" w:lineRule="auto"/>
        <w:rPr>
          <w:rFonts w:cstheme="minorHAnsi"/>
          <w:sz w:val="20"/>
          <w:szCs w:val="20"/>
        </w:rPr>
      </w:pPr>
      <w:r w:rsidRPr="00C021AC">
        <w:rPr>
          <w:rFonts w:cstheme="minorHAnsi"/>
          <w:b/>
          <w:bCs/>
          <w:color w:val="000000"/>
          <w:sz w:val="20"/>
          <w:szCs w:val="20"/>
        </w:rPr>
        <w:t xml:space="preserve">Top appealing organizations in the sector: </w:t>
      </w:r>
      <w:r w:rsidRPr="00C021AC" w:rsidR="00C021AC">
        <w:rPr>
          <w:rFonts w:cstheme="minorHAnsi"/>
          <w:b/>
          <w:bCs/>
          <w:color w:val="000000"/>
          <w:sz w:val="20"/>
          <w:szCs w:val="20"/>
        </w:rPr>
        <w:t xml:space="preserve"> </w:t>
      </w:r>
    </w:p>
    <w:tbl>
      <w:tblPr>
        <w:tblW w:w="9953" w:type="dxa"/>
        <w:tblLook w:val="04A0" w:firstRow="1" w:lastRow="0" w:firstColumn="1" w:lastColumn="0" w:noHBand="0" w:noVBand="1"/>
      </w:tblPr>
      <w:tblGrid>
        <w:gridCol w:w="2177"/>
        <w:gridCol w:w="1231"/>
        <w:gridCol w:w="1085"/>
        <w:gridCol w:w="1231"/>
        <w:gridCol w:w="888"/>
        <w:gridCol w:w="3341"/>
      </w:tblGrid>
      <w:tr w:rsidRPr="00BB4459" w:rsidR="00BB4459" w:rsidTr="00F47995" w14:paraId="18D53C46" w14:textId="77777777">
        <w:trPr>
          <w:trHeight w:val="392"/>
        </w:trPr>
        <w:tc>
          <w:tcPr>
            <w:tcW w:w="2177" w:type="dxa"/>
            <w:tcBorders>
              <w:top w:val="single" w:color="4472C4" w:sz="4" w:space="0"/>
              <w:left w:val="single" w:color="4472C4" w:sz="4" w:space="0"/>
              <w:bottom w:val="nil"/>
              <w:right w:val="nil"/>
            </w:tcBorders>
            <w:shd w:val="clear" w:color="4472C4" w:fill="4472C4"/>
            <w:vAlign w:val="center"/>
            <w:hideMark/>
          </w:tcPr>
          <w:p w:rsidRPr="00BB4459" w:rsidR="00BB4459" w:rsidP="00BB4459" w:rsidRDefault="00BB4459" w14:paraId="53F003AA" w14:textId="77777777">
            <w:pPr>
              <w:spacing w:after="0" w:line="240" w:lineRule="auto"/>
              <w:rPr>
                <w:rFonts w:ascii="Calibri" w:hAnsi="Calibri" w:eastAsia="Times New Roman" w:cs="Times New Roman"/>
                <w:b/>
                <w:bCs/>
                <w:color w:val="FFFFFF"/>
                <w:sz w:val="18"/>
                <w:szCs w:val="18"/>
                <w:lang w:eastAsia="zh-CN"/>
              </w:rPr>
            </w:pPr>
            <w:r w:rsidRPr="00BB4459">
              <w:rPr>
                <w:rFonts w:ascii="Calibri" w:hAnsi="Calibri" w:eastAsia="Times New Roman" w:cs="Times New Roman"/>
                <w:b/>
                <w:bCs/>
                <w:color w:val="FFFFFF"/>
                <w:sz w:val="18"/>
                <w:szCs w:val="18"/>
                <w:lang w:eastAsia="zh-CN"/>
              </w:rPr>
              <w:t>Organizations</w:t>
            </w:r>
          </w:p>
        </w:tc>
        <w:tc>
          <w:tcPr>
            <w:tcW w:w="1231" w:type="dxa"/>
            <w:tcBorders>
              <w:top w:val="single" w:color="4472C4" w:sz="4" w:space="0"/>
              <w:left w:val="nil"/>
              <w:bottom w:val="nil"/>
              <w:right w:val="nil"/>
            </w:tcBorders>
            <w:shd w:val="clear" w:color="4472C4" w:fill="4472C4"/>
            <w:vAlign w:val="bottom"/>
            <w:hideMark/>
          </w:tcPr>
          <w:p w:rsidRPr="00BB4459" w:rsidR="00BB4459" w:rsidP="00BB4459" w:rsidRDefault="00BB4459" w14:paraId="39C962CE" w14:textId="77777777">
            <w:pPr>
              <w:spacing w:after="0" w:line="240" w:lineRule="auto"/>
              <w:jc w:val="right"/>
              <w:rPr>
                <w:rFonts w:ascii="Calibri" w:hAnsi="Calibri" w:eastAsia="Times New Roman" w:cs="Times New Roman"/>
                <w:b/>
                <w:bCs/>
                <w:color w:val="FFFFFF"/>
                <w:sz w:val="18"/>
                <w:szCs w:val="18"/>
                <w:lang w:eastAsia="zh-CN"/>
              </w:rPr>
            </w:pPr>
            <w:r w:rsidRPr="00BB4459">
              <w:rPr>
                <w:rFonts w:ascii="Calibri" w:hAnsi="Calibri" w:eastAsia="Times New Roman" w:cs="Times New Roman"/>
                <w:b/>
                <w:bCs/>
                <w:color w:val="FFFFFF"/>
                <w:sz w:val="18"/>
                <w:szCs w:val="18"/>
                <w:lang w:eastAsia="zh-CN"/>
              </w:rPr>
              <w:t xml:space="preserve"> 2020 requirements US$ </w:t>
            </w:r>
          </w:p>
        </w:tc>
        <w:tc>
          <w:tcPr>
            <w:tcW w:w="1085" w:type="dxa"/>
            <w:tcBorders>
              <w:top w:val="single" w:color="4472C4" w:sz="4" w:space="0"/>
              <w:left w:val="nil"/>
              <w:bottom w:val="nil"/>
              <w:right w:val="nil"/>
            </w:tcBorders>
            <w:shd w:val="clear" w:color="4472C4" w:fill="4472C4"/>
            <w:vAlign w:val="bottom"/>
            <w:hideMark/>
          </w:tcPr>
          <w:p w:rsidRPr="00BB4459" w:rsidR="00BB4459" w:rsidP="00BB4459" w:rsidRDefault="00BB4459" w14:paraId="7DE04EB3" w14:textId="77777777">
            <w:pPr>
              <w:spacing w:after="0" w:line="240" w:lineRule="auto"/>
              <w:jc w:val="right"/>
              <w:rPr>
                <w:rFonts w:ascii="Calibri" w:hAnsi="Calibri" w:eastAsia="Times New Roman" w:cs="Times New Roman"/>
                <w:b/>
                <w:bCs/>
                <w:color w:val="FFFFFF"/>
                <w:sz w:val="18"/>
                <w:szCs w:val="18"/>
                <w:lang w:eastAsia="zh-CN"/>
              </w:rPr>
            </w:pPr>
            <w:r w:rsidRPr="00BB4459">
              <w:rPr>
                <w:rFonts w:ascii="Calibri" w:hAnsi="Calibri" w:eastAsia="Times New Roman" w:cs="Times New Roman"/>
                <w:b/>
                <w:bCs/>
                <w:color w:val="FFFFFF"/>
                <w:sz w:val="18"/>
                <w:szCs w:val="18"/>
                <w:lang w:eastAsia="zh-CN"/>
              </w:rPr>
              <w:t xml:space="preserve">2020 </w:t>
            </w:r>
            <w:r w:rsidRPr="00BB4459">
              <w:rPr>
                <w:rFonts w:ascii="Calibri" w:hAnsi="Calibri" w:eastAsia="Times New Roman" w:cs="Times New Roman"/>
                <w:b/>
                <w:bCs/>
                <w:color w:val="FFFFFF"/>
                <w:sz w:val="18"/>
                <w:szCs w:val="18"/>
                <w:lang w:eastAsia="zh-CN"/>
              </w:rPr>
              <w:br/>
            </w:r>
            <w:r w:rsidRPr="00BB4459">
              <w:rPr>
                <w:rFonts w:ascii="Calibri" w:hAnsi="Calibri" w:eastAsia="Times New Roman" w:cs="Times New Roman"/>
                <w:b/>
                <w:bCs/>
                <w:color w:val="FFFFFF"/>
                <w:sz w:val="18"/>
                <w:szCs w:val="18"/>
                <w:lang w:eastAsia="zh-CN"/>
              </w:rPr>
              <w:t>Coverage %</w:t>
            </w:r>
          </w:p>
        </w:tc>
        <w:tc>
          <w:tcPr>
            <w:tcW w:w="1231" w:type="dxa"/>
            <w:tcBorders>
              <w:top w:val="single" w:color="4472C4" w:sz="4" w:space="0"/>
              <w:left w:val="nil"/>
              <w:bottom w:val="nil"/>
              <w:right w:val="nil"/>
            </w:tcBorders>
            <w:shd w:val="clear" w:color="4472C4" w:fill="4472C4"/>
            <w:vAlign w:val="bottom"/>
            <w:hideMark/>
          </w:tcPr>
          <w:p w:rsidRPr="00BB4459" w:rsidR="00BB4459" w:rsidP="00BB4459" w:rsidRDefault="00BB4459" w14:paraId="21382F60" w14:textId="77777777">
            <w:pPr>
              <w:spacing w:after="0" w:line="240" w:lineRule="auto"/>
              <w:jc w:val="right"/>
              <w:rPr>
                <w:rFonts w:ascii="Calibri" w:hAnsi="Calibri" w:eastAsia="Times New Roman" w:cs="Times New Roman"/>
                <w:b/>
                <w:bCs/>
                <w:color w:val="FFFFFF"/>
                <w:sz w:val="18"/>
                <w:szCs w:val="18"/>
                <w:lang w:eastAsia="zh-CN"/>
              </w:rPr>
            </w:pPr>
            <w:r w:rsidRPr="00BB4459">
              <w:rPr>
                <w:rFonts w:ascii="Calibri" w:hAnsi="Calibri" w:eastAsia="Times New Roman" w:cs="Times New Roman"/>
                <w:b/>
                <w:bCs/>
                <w:color w:val="FFFFFF"/>
                <w:sz w:val="18"/>
                <w:szCs w:val="18"/>
                <w:lang w:eastAsia="zh-CN"/>
              </w:rPr>
              <w:t xml:space="preserve"> 2021 requirements US$ </w:t>
            </w:r>
          </w:p>
        </w:tc>
        <w:tc>
          <w:tcPr>
            <w:tcW w:w="888" w:type="dxa"/>
            <w:tcBorders>
              <w:top w:val="single" w:color="4472C4" w:sz="4" w:space="0"/>
              <w:left w:val="nil"/>
              <w:bottom w:val="nil"/>
              <w:right w:val="nil"/>
            </w:tcBorders>
            <w:shd w:val="clear" w:color="4472C4" w:fill="4472C4"/>
            <w:vAlign w:val="bottom"/>
            <w:hideMark/>
          </w:tcPr>
          <w:p w:rsidRPr="00BB4459" w:rsidR="00BB4459" w:rsidP="00BB4459" w:rsidRDefault="00BB4459" w14:paraId="037E4394" w14:textId="77777777">
            <w:pPr>
              <w:spacing w:after="0" w:line="240" w:lineRule="auto"/>
              <w:jc w:val="right"/>
              <w:rPr>
                <w:rFonts w:ascii="Calibri" w:hAnsi="Calibri" w:eastAsia="Times New Roman" w:cs="Times New Roman"/>
                <w:b/>
                <w:bCs/>
                <w:color w:val="FFFFFF"/>
                <w:sz w:val="18"/>
                <w:szCs w:val="18"/>
                <w:lang w:eastAsia="zh-CN"/>
              </w:rPr>
            </w:pPr>
            <w:r w:rsidRPr="00BB4459">
              <w:rPr>
                <w:rFonts w:ascii="Calibri" w:hAnsi="Calibri" w:eastAsia="Times New Roman" w:cs="Times New Roman"/>
                <w:b/>
                <w:bCs/>
                <w:color w:val="FFFFFF"/>
                <w:sz w:val="18"/>
                <w:szCs w:val="18"/>
                <w:lang w:eastAsia="zh-CN"/>
              </w:rPr>
              <w:t>% variation to 2020</w:t>
            </w:r>
          </w:p>
        </w:tc>
        <w:tc>
          <w:tcPr>
            <w:tcW w:w="3341" w:type="dxa"/>
            <w:tcBorders>
              <w:top w:val="single" w:color="4472C4" w:sz="4" w:space="0"/>
              <w:left w:val="nil"/>
              <w:bottom w:val="nil"/>
              <w:right w:val="single" w:color="4472C4" w:sz="4" w:space="0"/>
            </w:tcBorders>
            <w:shd w:val="clear" w:color="4472C4" w:fill="4472C4"/>
            <w:vAlign w:val="bottom"/>
            <w:hideMark/>
          </w:tcPr>
          <w:p w:rsidRPr="00BB4459" w:rsidR="00BB4459" w:rsidP="00BB4459" w:rsidRDefault="00BB4459" w14:paraId="1DF3461B" w14:textId="77777777">
            <w:pPr>
              <w:spacing w:after="0" w:line="240" w:lineRule="auto"/>
              <w:rPr>
                <w:rFonts w:ascii="Calibri" w:hAnsi="Calibri" w:eastAsia="Times New Roman" w:cs="Times New Roman"/>
                <w:b/>
                <w:bCs/>
                <w:color w:val="FFFFFF"/>
                <w:sz w:val="18"/>
                <w:szCs w:val="18"/>
                <w:lang w:eastAsia="zh-CN"/>
              </w:rPr>
            </w:pPr>
            <w:r w:rsidRPr="00BB4459">
              <w:rPr>
                <w:rFonts w:ascii="Calibri" w:hAnsi="Calibri" w:eastAsia="Times New Roman" w:cs="Times New Roman"/>
                <w:b/>
                <w:bCs/>
                <w:color w:val="FFFFFF"/>
                <w:sz w:val="18"/>
                <w:szCs w:val="18"/>
                <w:lang w:eastAsia="zh-CN"/>
              </w:rPr>
              <w:t xml:space="preserve"> Geographic coverage</w:t>
            </w:r>
            <w:r w:rsidRPr="00BB4459">
              <w:rPr>
                <w:rFonts w:ascii="Calibri" w:hAnsi="Calibri" w:eastAsia="Times New Roman" w:cs="Times New Roman"/>
                <w:b/>
                <w:bCs/>
                <w:color w:val="FFFFFF"/>
                <w:sz w:val="18"/>
                <w:szCs w:val="18"/>
                <w:lang w:eastAsia="zh-CN"/>
              </w:rPr>
              <w:br/>
            </w:r>
            <w:r w:rsidRPr="00BB4459">
              <w:rPr>
                <w:rFonts w:ascii="Calibri" w:hAnsi="Calibri" w:eastAsia="Times New Roman" w:cs="Times New Roman"/>
                <w:b/>
                <w:bCs/>
                <w:color w:val="FFFFFF"/>
                <w:sz w:val="18"/>
                <w:szCs w:val="18"/>
                <w:lang w:eastAsia="zh-CN"/>
              </w:rPr>
              <w:t xml:space="preserve">(main governorates) </w:t>
            </w:r>
          </w:p>
        </w:tc>
      </w:tr>
      <w:tr w:rsidRPr="00BB4459" w:rsidR="00BB4459" w:rsidTr="00F47995" w14:paraId="262B43C2" w14:textId="77777777">
        <w:trPr>
          <w:trHeight w:val="382"/>
        </w:trPr>
        <w:tc>
          <w:tcPr>
            <w:tcW w:w="2177" w:type="dxa"/>
            <w:tcBorders>
              <w:top w:val="single" w:color="4472C4" w:sz="4" w:space="0"/>
              <w:left w:val="single" w:color="4472C4" w:sz="4" w:space="0"/>
              <w:bottom w:val="nil"/>
              <w:right w:val="nil"/>
            </w:tcBorders>
            <w:shd w:val="clear" w:color="auto" w:fill="auto"/>
            <w:vAlign w:val="center"/>
            <w:hideMark/>
          </w:tcPr>
          <w:p w:rsidRPr="00BB4459" w:rsidR="00BB4459" w:rsidP="00BB4459" w:rsidRDefault="00BB4459" w14:paraId="47760153"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United Nations High Commissioner for Refugees</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151DBA53"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xml:space="preserve">              160,607,724 </w:t>
            </w:r>
          </w:p>
        </w:tc>
        <w:tc>
          <w:tcPr>
            <w:tcW w:w="1085" w:type="dxa"/>
            <w:tcBorders>
              <w:top w:val="single" w:color="4472C4" w:sz="4" w:space="0"/>
              <w:left w:val="nil"/>
              <w:bottom w:val="nil"/>
              <w:right w:val="nil"/>
            </w:tcBorders>
            <w:shd w:val="clear" w:color="000000" w:fill="FFF2CC"/>
            <w:noWrap/>
            <w:vAlign w:val="bottom"/>
            <w:hideMark/>
          </w:tcPr>
          <w:p w:rsidRPr="00BB4459" w:rsidR="00BB4459" w:rsidP="00BB4459" w:rsidRDefault="00BB4459" w14:paraId="3081CE95"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45%</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7EDEE817" w14:textId="77777777">
            <w:pPr>
              <w:spacing w:after="0" w:line="240" w:lineRule="auto"/>
              <w:jc w:val="right"/>
              <w:rPr>
                <w:rFonts w:ascii="Calibri" w:hAnsi="Calibri" w:eastAsia="Times New Roman" w:cs="Times New Roman"/>
                <w:b/>
                <w:bCs/>
                <w:color w:val="000000"/>
                <w:sz w:val="18"/>
                <w:szCs w:val="18"/>
                <w:lang w:eastAsia="zh-CN"/>
              </w:rPr>
            </w:pPr>
            <w:r w:rsidRPr="00BB4459">
              <w:rPr>
                <w:rFonts w:ascii="Calibri" w:hAnsi="Calibri" w:eastAsia="Times New Roman" w:cs="Times New Roman"/>
                <w:b/>
                <w:bCs/>
                <w:color w:val="000000"/>
                <w:sz w:val="18"/>
                <w:szCs w:val="18"/>
                <w:lang w:eastAsia="zh-CN"/>
              </w:rPr>
              <w:t xml:space="preserve">              160,133,756 </w:t>
            </w:r>
          </w:p>
        </w:tc>
        <w:tc>
          <w:tcPr>
            <w:tcW w:w="888" w:type="dxa"/>
            <w:tcBorders>
              <w:top w:val="single" w:color="4472C4" w:sz="4" w:space="0"/>
              <w:left w:val="nil"/>
              <w:bottom w:val="nil"/>
              <w:right w:val="nil"/>
            </w:tcBorders>
            <w:shd w:val="clear" w:color="000000" w:fill="C6E0B4"/>
            <w:noWrap/>
            <w:vAlign w:val="bottom"/>
            <w:hideMark/>
          </w:tcPr>
          <w:p w:rsidRPr="00BB4459" w:rsidR="00BB4459" w:rsidP="00BB4459" w:rsidRDefault="00BB4459" w14:paraId="487AC2E0"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0%</w:t>
            </w:r>
          </w:p>
        </w:tc>
        <w:tc>
          <w:tcPr>
            <w:tcW w:w="3341" w:type="dxa"/>
            <w:tcBorders>
              <w:top w:val="single" w:color="4472C4" w:sz="4" w:space="0"/>
              <w:left w:val="nil"/>
              <w:bottom w:val="nil"/>
              <w:right w:val="single" w:color="4472C4" w:sz="4" w:space="0"/>
            </w:tcBorders>
            <w:shd w:val="clear" w:color="auto" w:fill="auto"/>
            <w:vAlign w:val="bottom"/>
            <w:hideMark/>
          </w:tcPr>
          <w:p w:rsidRPr="00BB4459" w:rsidR="00BB4459" w:rsidP="00BB4459" w:rsidRDefault="00BB4459" w14:paraId="2892E36B"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All 14 governorates</w:t>
            </w:r>
          </w:p>
        </w:tc>
      </w:tr>
      <w:tr w:rsidRPr="00BB4459" w:rsidR="00BB4459" w:rsidTr="00F47995" w14:paraId="743CC8DD" w14:textId="77777777">
        <w:trPr>
          <w:trHeight w:val="229"/>
        </w:trPr>
        <w:tc>
          <w:tcPr>
            <w:tcW w:w="2177" w:type="dxa"/>
            <w:tcBorders>
              <w:top w:val="single" w:color="4472C4" w:sz="4" w:space="0"/>
              <w:left w:val="single" w:color="4472C4" w:sz="4" w:space="0"/>
              <w:bottom w:val="nil"/>
              <w:right w:val="nil"/>
            </w:tcBorders>
            <w:shd w:val="clear" w:color="auto" w:fill="auto"/>
            <w:vAlign w:val="center"/>
            <w:hideMark/>
          </w:tcPr>
          <w:p w:rsidRPr="00BB4459" w:rsidR="00BB4459" w:rsidP="00BB4459" w:rsidRDefault="00BB4459" w14:paraId="64D332AE"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United Nations Population Fund</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154C28D0"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xml:space="preserve">                33,879,600 </w:t>
            </w:r>
          </w:p>
        </w:tc>
        <w:tc>
          <w:tcPr>
            <w:tcW w:w="1085" w:type="dxa"/>
            <w:tcBorders>
              <w:top w:val="single" w:color="4472C4" w:sz="4" w:space="0"/>
              <w:left w:val="nil"/>
              <w:bottom w:val="nil"/>
              <w:right w:val="nil"/>
            </w:tcBorders>
            <w:shd w:val="clear" w:color="000000" w:fill="FFCCCC"/>
            <w:noWrap/>
            <w:vAlign w:val="bottom"/>
            <w:hideMark/>
          </w:tcPr>
          <w:p w:rsidRPr="00BB4459" w:rsidR="00BB4459" w:rsidP="00BB4459" w:rsidRDefault="00BB4459" w14:paraId="25C660BF"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25%</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467A472B" w14:textId="77777777">
            <w:pPr>
              <w:spacing w:after="0" w:line="240" w:lineRule="auto"/>
              <w:jc w:val="right"/>
              <w:rPr>
                <w:rFonts w:ascii="Calibri" w:hAnsi="Calibri" w:eastAsia="Times New Roman" w:cs="Times New Roman"/>
                <w:b/>
                <w:bCs/>
                <w:color w:val="000000"/>
                <w:sz w:val="18"/>
                <w:szCs w:val="18"/>
                <w:lang w:eastAsia="zh-CN"/>
              </w:rPr>
            </w:pPr>
            <w:r w:rsidRPr="00BB4459">
              <w:rPr>
                <w:rFonts w:ascii="Calibri" w:hAnsi="Calibri" w:eastAsia="Times New Roman" w:cs="Times New Roman"/>
                <w:b/>
                <w:bCs/>
                <w:color w:val="000000"/>
                <w:sz w:val="18"/>
                <w:szCs w:val="18"/>
                <w:lang w:eastAsia="zh-CN"/>
              </w:rPr>
              <w:t xml:space="preserve">                33,767,096 </w:t>
            </w:r>
          </w:p>
        </w:tc>
        <w:tc>
          <w:tcPr>
            <w:tcW w:w="888" w:type="dxa"/>
            <w:tcBorders>
              <w:top w:val="single" w:color="4472C4" w:sz="4" w:space="0"/>
              <w:left w:val="nil"/>
              <w:bottom w:val="nil"/>
              <w:right w:val="nil"/>
            </w:tcBorders>
            <w:shd w:val="clear" w:color="000000" w:fill="C6E0B4"/>
            <w:noWrap/>
            <w:vAlign w:val="bottom"/>
            <w:hideMark/>
          </w:tcPr>
          <w:p w:rsidRPr="00BB4459" w:rsidR="00BB4459" w:rsidP="00BB4459" w:rsidRDefault="00BB4459" w14:paraId="5C0916E9"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0%</w:t>
            </w:r>
          </w:p>
        </w:tc>
        <w:tc>
          <w:tcPr>
            <w:tcW w:w="3341" w:type="dxa"/>
            <w:tcBorders>
              <w:top w:val="single" w:color="4472C4" w:sz="4" w:space="0"/>
              <w:left w:val="nil"/>
              <w:bottom w:val="nil"/>
              <w:right w:val="single" w:color="4472C4" w:sz="4" w:space="0"/>
            </w:tcBorders>
            <w:shd w:val="clear" w:color="auto" w:fill="auto"/>
            <w:vAlign w:val="bottom"/>
            <w:hideMark/>
          </w:tcPr>
          <w:p w:rsidRPr="00BB4459" w:rsidR="00BB4459" w:rsidP="00BB4459" w:rsidRDefault="00BB4459" w14:paraId="63C0BDC3"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All 14 governorates</w:t>
            </w:r>
          </w:p>
        </w:tc>
      </w:tr>
      <w:tr w:rsidRPr="00BB4459" w:rsidR="00BB4459" w:rsidTr="00F47995" w14:paraId="0169ACF6" w14:textId="77777777">
        <w:trPr>
          <w:trHeight w:val="229"/>
        </w:trPr>
        <w:tc>
          <w:tcPr>
            <w:tcW w:w="2177" w:type="dxa"/>
            <w:tcBorders>
              <w:top w:val="single" w:color="4472C4" w:sz="4" w:space="0"/>
              <w:left w:val="single" w:color="4472C4" w:sz="4" w:space="0"/>
              <w:bottom w:val="nil"/>
              <w:right w:val="nil"/>
            </w:tcBorders>
            <w:shd w:val="clear" w:color="auto" w:fill="auto"/>
            <w:vAlign w:val="center"/>
            <w:hideMark/>
          </w:tcPr>
          <w:p w:rsidRPr="00BB4459" w:rsidR="00BB4459" w:rsidP="00BB4459" w:rsidRDefault="00BB4459" w14:paraId="5AF2BD1F"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United Nations Children's Fund</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2D4E2B66"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xml:space="preserve">                32,888,552 </w:t>
            </w:r>
          </w:p>
        </w:tc>
        <w:tc>
          <w:tcPr>
            <w:tcW w:w="1085" w:type="dxa"/>
            <w:tcBorders>
              <w:top w:val="single" w:color="4472C4" w:sz="4" w:space="0"/>
              <w:left w:val="nil"/>
              <w:bottom w:val="nil"/>
              <w:right w:val="nil"/>
            </w:tcBorders>
            <w:shd w:val="clear" w:color="000000" w:fill="FFCCCC"/>
            <w:noWrap/>
            <w:vAlign w:val="bottom"/>
            <w:hideMark/>
          </w:tcPr>
          <w:p w:rsidRPr="00BB4459" w:rsidR="00BB4459" w:rsidP="00BB4459" w:rsidRDefault="00BB4459" w14:paraId="2AE3B96E"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7%</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7D4D6E79" w14:textId="77777777">
            <w:pPr>
              <w:spacing w:after="0" w:line="240" w:lineRule="auto"/>
              <w:jc w:val="right"/>
              <w:rPr>
                <w:rFonts w:ascii="Calibri" w:hAnsi="Calibri" w:eastAsia="Times New Roman" w:cs="Times New Roman"/>
                <w:b/>
                <w:bCs/>
                <w:color w:val="000000"/>
                <w:sz w:val="18"/>
                <w:szCs w:val="18"/>
                <w:lang w:eastAsia="zh-CN"/>
              </w:rPr>
            </w:pPr>
            <w:r w:rsidRPr="00BB4459">
              <w:rPr>
                <w:rFonts w:ascii="Calibri" w:hAnsi="Calibri" w:eastAsia="Times New Roman" w:cs="Times New Roman"/>
                <w:b/>
                <w:bCs/>
                <w:color w:val="000000"/>
                <w:sz w:val="18"/>
                <w:szCs w:val="18"/>
                <w:lang w:eastAsia="zh-CN"/>
              </w:rPr>
              <w:t xml:space="preserve">                31,472,313 </w:t>
            </w:r>
          </w:p>
        </w:tc>
        <w:tc>
          <w:tcPr>
            <w:tcW w:w="888" w:type="dxa"/>
            <w:tcBorders>
              <w:top w:val="single" w:color="4472C4" w:sz="4" w:space="0"/>
              <w:left w:val="nil"/>
              <w:bottom w:val="nil"/>
              <w:right w:val="nil"/>
            </w:tcBorders>
            <w:shd w:val="clear" w:color="000000" w:fill="C6E0B4"/>
            <w:noWrap/>
            <w:vAlign w:val="bottom"/>
            <w:hideMark/>
          </w:tcPr>
          <w:p w:rsidRPr="00BB4459" w:rsidR="00BB4459" w:rsidP="00BB4459" w:rsidRDefault="00BB4459" w14:paraId="1E941D08"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-4%</w:t>
            </w:r>
          </w:p>
        </w:tc>
        <w:tc>
          <w:tcPr>
            <w:tcW w:w="3341" w:type="dxa"/>
            <w:tcBorders>
              <w:top w:val="single" w:color="4472C4" w:sz="4" w:space="0"/>
              <w:left w:val="nil"/>
              <w:bottom w:val="nil"/>
              <w:right w:val="single" w:color="4472C4" w:sz="4" w:space="0"/>
            </w:tcBorders>
            <w:shd w:val="clear" w:color="auto" w:fill="auto"/>
            <w:vAlign w:val="bottom"/>
            <w:hideMark/>
          </w:tcPr>
          <w:p w:rsidRPr="00BB4459" w:rsidR="00BB4459" w:rsidP="00BB4459" w:rsidRDefault="00BB4459" w14:paraId="332A8629"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All 14 governorates</w:t>
            </w:r>
          </w:p>
        </w:tc>
      </w:tr>
      <w:tr w:rsidRPr="00BB4459" w:rsidR="00BB4459" w:rsidTr="00F47995" w14:paraId="653EDACB" w14:textId="77777777">
        <w:trPr>
          <w:trHeight w:val="229"/>
        </w:trPr>
        <w:tc>
          <w:tcPr>
            <w:tcW w:w="2177" w:type="dxa"/>
            <w:tcBorders>
              <w:top w:val="single" w:color="4472C4" w:sz="4" w:space="0"/>
              <w:left w:val="single" w:color="4472C4" w:sz="4" w:space="0"/>
              <w:bottom w:val="nil"/>
              <w:right w:val="nil"/>
            </w:tcBorders>
            <w:shd w:val="clear" w:color="auto" w:fill="auto"/>
            <w:vAlign w:val="center"/>
            <w:hideMark/>
          </w:tcPr>
          <w:p w:rsidRPr="00BB4459" w:rsidR="00BB4459" w:rsidP="00BB4459" w:rsidRDefault="00BB4459" w14:paraId="4E1D1995"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United Nations Mine Action Service</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4D6B3628"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xml:space="preserve">                20,000,000 </w:t>
            </w:r>
          </w:p>
        </w:tc>
        <w:tc>
          <w:tcPr>
            <w:tcW w:w="1085" w:type="dxa"/>
            <w:tcBorders>
              <w:top w:val="single" w:color="4472C4" w:sz="4" w:space="0"/>
              <w:left w:val="nil"/>
              <w:bottom w:val="nil"/>
              <w:right w:val="nil"/>
            </w:tcBorders>
            <w:shd w:val="clear" w:color="000000" w:fill="FFCCCC"/>
            <w:noWrap/>
            <w:vAlign w:val="bottom"/>
            <w:hideMark/>
          </w:tcPr>
          <w:p w:rsidRPr="00BB4459" w:rsidR="00BB4459" w:rsidP="00BB4459" w:rsidRDefault="00BB4459" w14:paraId="25097759"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21%</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77344A80" w14:textId="77777777">
            <w:pPr>
              <w:spacing w:after="0" w:line="240" w:lineRule="auto"/>
              <w:jc w:val="right"/>
              <w:rPr>
                <w:rFonts w:ascii="Calibri" w:hAnsi="Calibri" w:eastAsia="Times New Roman" w:cs="Times New Roman"/>
                <w:b/>
                <w:bCs/>
                <w:color w:val="000000"/>
                <w:sz w:val="18"/>
                <w:szCs w:val="18"/>
                <w:lang w:eastAsia="zh-CN"/>
              </w:rPr>
            </w:pPr>
            <w:r w:rsidRPr="00BB4459">
              <w:rPr>
                <w:rFonts w:ascii="Calibri" w:hAnsi="Calibri" w:eastAsia="Times New Roman" w:cs="Times New Roman"/>
                <w:b/>
                <w:bCs/>
                <w:color w:val="000000"/>
                <w:sz w:val="18"/>
                <w:szCs w:val="18"/>
                <w:lang w:eastAsia="zh-CN"/>
              </w:rPr>
              <w:t xml:space="preserve">                30,000,000 </w:t>
            </w:r>
          </w:p>
        </w:tc>
        <w:tc>
          <w:tcPr>
            <w:tcW w:w="888" w:type="dxa"/>
            <w:tcBorders>
              <w:top w:val="single" w:color="4472C4" w:sz="4" w:space="0"/>
              <w:left w:val="nil"/>
              <w:bottom w:val="nil"/>
              <w:right w:val="nil"/>
            </w:tcBorders>
            <w:shd w:val="clear" w:color="000000" w:fill="FFF2CC"/>
            <w:noWrap/>
            <w:vAlign w:val="bottom"/>
            <w:hideMark/>
          </w:tcPr>
          <w:p w:rsidRPr="00BB4459" w:rsidR="00BB4459" w:rsidP="00BB4459" w:rsidRDefault="00BB4459" w14:paraId="2C1B010B"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50%</w:t>
            </w:r>
          </w:p>
        </w:tc>
        <w:tc>
          <w:tcPr>
            <w:tcW w:w="3341" w:type="dxa"/>
            <w:tcBorders>
              <w:top w:val="single" w:color="4472C4" w:sz="4" w:space="0"/>
              <w:left w:val="nil"/>
              <w:bottom w:val="nil"/>
              <w:right w:val="single" w:color="4472C4" w:sz="4" w:space="0"/>
            </w:tcBorders>
            <w:shd w:val="clear" w:color="auto" w:fill="auto"/>
            <w:vAlign w:val="bottom"/>
            <w:hideMark/>
          </w:tcPr>
          <w:p w:rsidRPr="00BB4459" w:rsidR="00BB4459" w:rsidP="00BB4459" w:rsidRDefault="00BB4459" w14:paraId="2303D63E"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BB4459">
              <w:rPr>
                <w:rFonts w:ascii="Calibri" w:hAnsi="Calibri" w:eastAsia="Times New Roman" w:cs="Times New Roman"/>
                <w:color w:val="000000"/>
                <w:sz w:val="18"/>
                <w:szCs w:val="18"/>
                <w:lang w:eastAsia="zh-CN"/>
              </w:rPr>
              <w:t>Aleppo;Hama</w:t>
            </w:r>
            <w:proofErr w:type="gramEnd"/>
            <w:r w:rsidRPr="00BB4459">
              <w:rPr>
                <w:rFonts w:ascii="Calibri" w:hAnsi="Calibri" w:eastAsia="Times New Roman" w:cs="Times New Roman"/>
                <w:color w:val="000000"/>
                <w:sz w:val="18"/>
                <w:szCs w:val="18"/>
                <w:lang w:eastAsia="zh-CN"/>
              </w:rPr>
              <w:t>;Homs;IdlebQuneitra;Rural</w:t>
            </w:r>
            <w:proofErr w:type="spellEnd"/>
            <w:r w:rsidRPr="00BB4459">
              <w:rPr>
                <w:rFonts w:ascii="Calibri" w:hAnsi="Calibri" w:eastAsia="Times New Roman" w:cs="Times New Roman"/>
                <w:color w:val="000000"/>
                <w:sz w:val="18"/>
                <w:szCs w:val="18"/>
                <w:lang w:eastAsia="zh-CN"/>
              </w:rPr>
              <w:t xml:space="preserve"> Damascus;</w:t>
            </w:r>
          </w:p>
        </w:tc>
      </w:tr>
      <w:tr w:rsidRPr="00BB4459" w:rsidR="00BB4459" w:rsidTr="00F47995" w14:paraId="6C0A6D48" w14:textId="77777777">
        <w:trPr>
          <w:trHeight w:val="229"/>
        </w:trPr>
        <w:tc>
          <w:tcPr>
            <w:tcW w:w="2177" w:type="dxa"/>
            <w:tcBorders>
              <w:top w:val="single" w:color="4472C4" w:sz="4" w:space="0"/>
              <w:left w:val="single" w:color="4472C4" w:sz="4" w:space="0"/>
              <w:bottom w:val="nil"/>
              <w:right w:val="nil"/>
            </w:tcBorders>
            <w:shd w:val="clear" w:color="auto" w:fill="auto"/>
            <w:vAlign w:val="center"/>
            <w:hideMark/>
          </w:tcPr>
          <w:p w:rsidRPr="00BB4459" w:rsidR="00BB4459" w:rsidP="00BB4459" w:rsidRDefault="00BB4459" w14:paraId="08E4C6B4"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Mines Advisory Group</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4BA7AAFA"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w:t>
            </w:r>
          </w:p>
        </w:tc>
        <w:tc>
          <w:tcPr>
            <w:tcW w:w="1085" w:type="dxa"/>
            <w:tcBorders>
              <w:top w:val="single" w:color="4472C4" w:sz="4" w:space="0"/>
              <w:left w:val="nil"/>
              <w:bottom w:val="nil"/>
              <w:right w:val="nil"/>
            </w:tcBorders>
            <w:shd w:val="clear" w:color="000000" w:fill="FFFFFF"/>
            <w:noWrap/>
            <w:vAlign w:val="bottom"/>
            <w:hideMark/>
          </w:tcPr>
          <w:p w:rsidRPr="00BB4459" w:rsidR="00BB4459" w:rsidP="00BB4459" w:rsidRDefault="00BB4459" w14:paraId="7A570C83"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7887F9AB" w14:textId="77777777">
            <w:pPr>
              <w:spacing w:after="0" w:line="240" w:lineRule="auto"/>
              <w:jc w:val="right"/>
              <w:rPr>
                <w:rFonts w:ascii="Calibri" w:hAnsi="Calibri" w:eastAsia="Times New Roman" w:cs="Times New Roman"/>
                <w:b/>
                <w:bCs/>
                <w:color w:val="000000"/>
                <w:sz w:val="18"/>
                <w:szCs w:val="18"/>
                <w:lang w:eastAsia="zh-CN"/>
              </w:rPr>
            </w:pPr>
            <w:r w:rsidRPr="00BB4459">
              <w:rPr>
                <w:rFonts w:ascii="Calibri" w:hAnsi="Calibri" w:eastAsia="Times New Roman" w:cs="Times New Roman"/>
                <w:b/>
                <w:bCs/>
                <w:color w:val="000000"/>
                <w:sz w:val="18"/>
                <w:szCs w:val="18"/>
                <w:lang w:eastAsia="zh-CN"/>
              </w:rPr>
              <w:t xml:space="preserve">                14,553,250 </w:t>
            </w:r>
          </w:p>
        </w:tc>
        <w:tc>
          <w:tcPr>
            <w:tcW w:w="888" w:type="dxa"/>
            <w:tcBorders>
              <w:top w:val="single" w:color="4472C4" w:sz="4" w:space="0"/>
              <w:left w:val="nil"/>
              <w:bottom w:val="nil"/>
              <w:right w:val="nil"/>
            </w:tcBorders>
            <w:shd w:val="clear" w:color="000000" w:fill="FFFFFF"/>
            <w:noWrap/>
            <w:vAlign w:val="bottom"/>
            <w:hideMark/>
          </w:tcPr>
          <w:p w:rsidRPr="00BB4459" w:rsidR="00BB4459" w:rsidP="00BB4459" w:rsidRDefault="00BB4459" w14:paraId="13820D89"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w:t>
            </w:r>
          </w:p>
        </w:tc>
        <w:tc>
          <w:tcPr>
            <w:tcW w:w="3341" w:type="dxa"/>
            <w:tcBorders>
              <w:top w:val="single" w:color="4472C4" w:sz="4" w:space="0"/>
              <w:left w:val="nil"/>
              <w:bottom w:val="nil"/>
              <w:right w:val="single" w:color="4472C4" w:sz="4" w:space="0"/>
            </w:tcBorders>
            <w:shd w:val="clear" w:color="auto" w:fill="auto"/>
            <w:vAlign w:val="bottom"/>
            <w:hideMark/>
          </w:tcPr>
          <w:p w:rsidRPr="00BB4459" w:rsidR="00BB4459" w:rsidP="00BB4459" w:rsidRDefault="00BB4459" w14:paraId="7F4DF058"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BB4459">
              <w:rPr>
                <w:rFonts w:ascii="Calibri" w:hAnsi="Calibri" w:eastAsia="Times New Roman" w:cs="Times New Roman"/>
                <w:color w:val="000000"/>
                <w:sz w:val="18"/>
                <w:szCs w:val="18"/>
                <w:lang w:eastAsia="zh-CN"/>
              </w:rPr>
              <w:t>Aleppo;Al</w:t>
            </w:r>
            <w:proofErr w:type="gramEnd"/>
            <w:r w:rsidRPr="00BB4459">
              <w:rPr>
                <w:rFonts w:ascii="Calibri" w:hAnsi="Calibri" w:eastAsia="Times New Roman" w:cs="Times New Roman"/>
                <w:color w:val="000000"/>
                <w:sz w:val="18"/>
                <w:szCs w:val="18"/>
                <w:lang w:eastAsia="zh-CN"/>
              </w:rPr>
              <w:t>-Hasakeh;Ar-Raqqa;Idleb</w:t>
            </w:r>
            <w:proofErr w:type="spellEnd"/>
          </w:p>
        </w:tc>
      </w:tr>
      <w:tr w:rsidRPr="00BB4459" w:rsidR="00BB4459" w:rsidTr="00F47995" w14:paraId="090507AB" w14:textId="77777777">
        <w:trPr>
          <w:trHeight w:val="229"/>
        </w:trPr>
        <w:tc>
          <w:tcPr>
            <w:tcW w:w="2177" w:type="dxa"/>
            <w:tcBorders>
              <w:top w:val="single" w:color="4472C4" w:sz="4" w:space="0"/>
              <w:left w:val="single" w:color="4472C4" w:sz="4" w:space="0"/>
              <w:bottom w:val="nil"/>
              <w:right w:val="nil"/>
            </w:tcBorders>
            <w:shd w:val="clear" w:color="auto" w:fill="auto"/>
            <w:vAlign w:val="center"/>
            <w:hideMark/>
          </w:tcPr>
          <w:p w:rsidRPr="00BB4459" w:rsidR="00BB4459" w:rsidP="00BB4459" w:rsidRDefault="00BB4459" w14:paraId="670F532C"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Save the Children</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51F6AE1A"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xml:space="preserve">                10,170,000 </w:t>
            </w:r>
          </w:p>
        </w:tc>
        <w:tc>
          <w:tcPr>
            <w:tcW w:w="1085" w:type="dxa"/>
            <w:tcBorders>
              <w:top w:val="single" w:color="4472C4" w:sz="4" w:space="0"/>
              <w:left w:val="nil"/>
              <w:bottom w:val="nil"/>
              <w:right w:val="nil"/>
            </w:tcBorders>
            <w:shd w:val="clear" w:color="000000" w:fill="C6E0B4"/>
            <w:noWrap/>
            <w:vAlign w:val="bottom"/>
            <w:hideMark/>
          </w:tcPr>
          <w:p w:rsidRPr="00BB4459" w:rsidR="00BB4459" w:rsidP="00BB4459" w:rsidRDefault="00BB4459" w14:paraId="7F820398"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114%</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39D0CA7E" w14:textId="77777777">
            <w:pPr>
              <w:spacing w:after="0" w:line="240" w:lineRule="auto"/>
              <w:jc w:val="right"/>
              <w:rPr>
                <w:rFonts w:ascii="Calibri" w:hAnsi="Calibri" w:eastAsia="Times New Roman" w:cs="Times New Roman"/>
                <w:b/>
                <w:bCs/>
                <w:color w:val="000000"/>
                <w:sz w:val="18"/>
                <w:szCs w:val="18"/>
                <w:lang w:eastAsia="zh-CN"/>
              </w:rPr>
            </w:pPr>
            <w:r w:rsidRPr="00BB4459">
              <w:rPr>
                <w:rFonts w:ascii="Calibri" w:hAnsi="Calibri" w:eastAsia="Times New Roman" w:cs="Times New Roman"/>
                <w:b/>
                <w:bCs/>
                <w:color w:val="000000"/>
                <w:sz w:val="18"/>
                <w:szCs w:val="18"/>
                <w:lang w:eastAsia="zh-CN"/>
              </w:rPr>
              <w:t xml:space="preserve">                   7,000,000 </w:t>
            </w:r>
          </w:p>
        </w:tc>
        <w:tc>
          <w:tcPr>
            <w:tcW w:w="888" w:type="dxa"/>
            <w:tcBorders>
              <w:top w:val="single" w:color="4472C4" w:sz="4" w:space="0"/>
              <w:left w:val="nil"/>
              <w:bottom w:val="nil"/>
              <w:right w:val="nil"/>
            </w:tcBorders>
            <w:shd w:val="clear" w:color="000000" w:fill="C6E0B4"/>
            <w:noWrap/>
            <w:vAlign w:val="bottom"/>
            <w:hideMark/>
          </w:tcPr>
          <w:p w:rsidRPr="00BB4459" w:rsidR="00BB4459" w:rsidP="00BB4459" w:rsidRDefault="00BB4459" w14:paraId="19F50962"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-31%</w:t>
            </w:r>
          </w:p>
        </w:tc>
        <w:tc>
          <w:tcPr>
            <w:tcW w:w="3341" w:type="dxa"/>
            <w:tcBorders>
              <w:top w:val="single" w:color="4472C4" w:sz="4" w:space="0"/>
              <w:left w:val="nil"/>
              <w:bottom w:val="nil"/>
              <w:right w:val="single" w:color="4472C4" w:sz="4" w:space="0"/>
            </w:tcBorders>
            <w:shd w:val="clear" w:color="auto" w:fill="auto"/>
            <w:vAlign w:val="bottom"/>
            <w:hideMark/>
          </w:tcPr>
          <w:p w:rsidRPr="00BB4459" w:rsidR="00BB4459" w:rsidP="00BB4459" w:rsidRDefault="00BB4459" w14:paraId="6875C49F"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BB4459">
              <w:rPr>
                <w:rFonts w:ascii="Calibri" w:hAnsi="Calibri" w:eastAsia="Times New Roman" w:cs="Times New Roman"/>
                <w:color w:val="000000"/>
                <w:sz w:val="18"/>
                <w:szCs w:val="18"/>
                <w:lang w:eastAsia="zh-CN"/>
              </w:rPr>
              <w:t>Aleppo;Idleb</w:t>
            </w:r>
            <w:proofErr w:type="spellEnd"/>
            <w:proofErr w:type="gramEnd"/>
          </w:p>
        </w:tc>
      </w:tr>
      <w:tr w:rsidRPr="00BB4459" w:rsidR="00BB4459" w:rsidTr="00F47995" w14:paraId="031059FB" w14:textId="77777777">
        <w:trPr>
          <w:trHeight w:val="229"/>
        </w:trPr>
        <w:tc>
          <w:tcPr>
            <w:tcW w:w="2177" w:type="dxa"/>
            <w:tcBorders>
              <w:top w:val="single" w:color="4472C4" w:sz="4" w:space="0"/>
              <w:left w:val="single" w:color="4472C4" w:sz="4" w:space="0"/>
              <w:bottom w:val="nil"/>
              <w:right w:val="nil"/>
            </w:tcBorders>
            <w:shd w:val="clear" w:color="auto" w:fill="auto"/>
            <w:vAlign w:val="center"/>
            <w:hideMark/>
          </w:tcPr>
          <w:p w:rsidRPr="00BB4459" w:rsidR="00BB4459" w:rsidP="00BB4459" w:rsidRDefault="00BB4459" w14:paraId="2103E0EC" w14:textId="77777777">
            <w:pPr>
              <w:spacing w:after="0" w:line="240" w:lineRule="auto"/>
              <w:rPr>
                <w:rFonts w:ascii="Calibri" w:hAnsi="Calibri" w:eastAsia="Times New Roman" w:cs="Times New Roman"/>
                <w:color w:val="000000"/>
                <w:sz w:val="18"/>
                <w:szCs w:val="18"/>
                <w:lang w:eastAsia="zh-CN"/>
              </w:rPr>
            </w:pPr>
            <w:proofErr w:type="spellStart"/>
            <w:r w:rsidRPr="00BB4459">
              <w:rPr>
                <w:rFonts w:ascii="Calibri" w:hAnsi="Calibri" w:eastAsia="Times New Roman" w:cs="Times New Roman"/>
                <w:color w:val="000000"/>
                <w:sz w:val="18"/>
                <w:szCs w:val="18"/>
                <w:lang w:eastAsia="zh-CN"/>
              </w:rPr>
              <w:t>Shafak</w:t>
            </w:r>
            <w:proofErr w:type="spellEnd"/>
            <w:r w:rsidRPr="00BB4459">
              <w:rPr>
                <w:rFonts w:ascii="Calibri" w:hAnsi="Calibri" w:eastAsia="Times New Roman" w:cs="Times New Roman"/>
                <w:color w:val="000000"/>
                <w:sz w:val="18"/>
                <w:szCs w:val="18"/>
                <w:lang w:eastAsia="zh-CN"/>
              </w:rPr>
              <w:t xml:space="preserve"> Organization</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2CD8813F"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xml:space="preserve">                   1,300,000 </w:t>
            </w:r>
          </w:p>
        </w:tc>
        <w:tc>
          <w:tcPr>
            <w:tcW w:w="1085" w:type="dxa"/>
            <w:tcBorders>
              <w:top w:val="single" w:color="4472C4" w:sz="4" w:space="0"/>
              <w:left w:val="nil"/>
              <w:bottom w:val="nil"/>
              <w:right w:val="nil"/>
            </w:tcBorders>
            <w:shd w:val="clear" w:color="000000" w:fill="FFCCCC"/>
            <w:noWrap/>
            <w:vAlign w:val="bottom"/>
            <w:hideMark/>
          </w:tcPr>
          <w:p w:rsidRPr="00BB4459" w:rsidR="00BB4459" w:rsidP="00BB4459" w:rsidRDefault="00BB4459" w14:paraId="08E31A9E"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19%</w:t>
            </w:r>
          </w:p>
        </w:tc>
        <w:tc>
          <w:tcPr>
            <w:tcW w:w="1231" w:type="dxa"/>
            <w:tcBorders>
              <w:top w:val="single" w:color="4472C4" w:sz="4" w:space="0"/>
              <w:left w:val="nil"/>
              <w:bottom w:val="nil"/>
              <w:right w:val="nil"/>
            </w:tcBorders>
            <w:shd w:val="clear" w:color="auto" w:fill="auto"/>
            <w:noWrap/>
            <w:vAlign w:val="bottom"/>
            <w:hideMark/>
          </w:tcPr>
          <w:p w:rsidRPr="00BB4459" w:rsidR="00BB4459" w:rsidP="00BB4459" w:rsidRDefault="00BB4459" w14:paraId="0B80D2E1" w14:textId="77777777">
            <w:pPr>
              <w:spacing w:after="0" w:line="240" w:lineRule="auto"/>
              <w:jc w:val="right"/>
              <w:rPr>
                <w:rFonts w:ascii="Calibri" w:hAnsi="Calibri" w:eastAsia="Times New Roman" w:cs="Times New Roman"/>
                <w:b/>
                <w:bCs/>
                <w:color w:val="000000"/>
                <w:sz w:val="18"/>
                <w:szCs w:val="18"/>
                <w:lang w:eastAsia="zh-CN"/>
              </w:rPr>
            </w:pPr>
            <w:r w:rsidRPr="00BB4459">
              <w:rPr>
                <w:rFonts w:ascii="Calibri" w:hAnsi="Calibri" w:eastAsia="Times New Roman" w:cs="Times New Roman"/>
                <w:b/>
                <w:bCs/>
                <w:color w:val="000000"/>
                <w:sz w:val="18"/>
                <w:szCs w:val="18"/>
                <w:lang w:eastAsia="zh-CN"/>
              </w:rPr>
              <w:t xml:space="preserve">                   6,500,000 </w:t>
            </w:r>
          </w:p>
        </w:tc>
        <w:tc>
          <w:tcPr>
            <w:tcW w:w="888" w:type="dxa"/>
            <w:tcBorders>
              <w:top w:val="single" w:color="4472C4" w:sz="4" w:space="0"/>
              <w:left w:val="nil"/>
              <w:bottom w:val="nil"/>
              <w:right w:val="nil"/>
            </w:tcBorders>
            <w:shd w:val="clear" w:color="000000" w:fill="FFCCCC"/>
            <w:noWrap/>
            <w:vAlign w:val="bottom"/>
            <w:hideMark/>
          </w:tcPr>
          <w:p w:rsidRPr="00BB4459" w:rsidR="00BB4459" w:rsidP="00BB4459" w:rsidRDefault="00BB4459" w14:paraId="6826AD0B"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400%</w:t>
            </w:r>
          </w:p>
        </w:tc>
        <w:tc>
          <w:tcPr>
            <w:tcW w:w="3341" w:type="dxa"/>
            <w:tcBorders>
              <w:top w:val="single" w:color="4472C4" w:sz="4" w:space="0"/>
              <w:left w:val="nil"/>
              <w:bottom w:val="nil"/>
              <w:right w:val="single" w:color="4472C4" w:sz="4" w:space="0"/>
            </w:tcBorders>
            <w:shd w:val="clear" w:color="auto" w:fill="auto"/>
            <w:vAlign w:val="bottom"/>
            <w:hideMark/>
          </w:tcPr>
          <w:p w:rsidRPr="00BB4459" w:rsidR="00BB4459" w:rsidP="00BB4459" w:rsidRDefault="00BB4459" w14:paraId="2EC97EC0" w14:textId="77777777">
            <w:pPr>
              <w:spacing w:after="0" w:line="240" w:lineRule="auto"/>
              <w:rPr>
                <w:rFonts w:ascii="Calibri" w:hAnsi="Calibri" w:eastAsia="Times New Roman" w:cs="Times New Roman"/>
                <w:color w:val="000000"/>
                <w:sz w:val="18"/>
                <w:szCs w:val="18"/>
                <w:lang w:eastAsia="zh-CN"/>
              </w:rPr>
            </w:pPr>
            <w:proofErr w:type="spellStart"/>
            <w:r w:rsidRPr="00BB4459">
              <w:rPr>
                <w:rFonts w:ascii="Calibri" w:hAnsi="Calibri" w:eastAsia="Times New Roman" w:cs="Times New Roman"/>
                <w:color w:val="000000"/>
                <w:sz w:val="18"/>
                <w:szCs w:val="18"/>
                <w:lang w:eastAsia="zh-CN"/>
              </w:rPr>
              <w:t>AleppoAr</w:t>
            </w:r>
            <w:proofErr w:type="spellEnd"/>
            <w:r w:rsidRPr="00BB4459">
              <w:rPr>
                <w:rFonts w:ascii="Calibri" w:hAnsi="Calibri" w:eastAsia="Times New Roman" w:cs="Times New Roman"/>
                <w:color w:val="000000"/>
                <w:sz w:val="18"/>
                <w:szCs w:val="18"/>
                <w:lang w:eastAsia="zh-CN"/>
              </w:rPr>
              <w:t>-Raqqa;</w:t>
            </w:r>
          </w:p>
        </w:tc>
      </w:tr>
      <w:tr w:rsidRPr="00BB4459" w:rsidR="00BB4459" w:rsidTr="00F47995" w14:paraId="2486AEFF" w14:textId="77777777">
        <w:trPr>
          <w:trHeight w:val="229"/>
        </w:trPr>
        <w:tc>
          <w:tcPr>
            <w:tcW w:w="2177" w:type="dxa"/>
            <w:tcBorders>
              <w:top w:val="single" w:color="4472C4" w:sz="4" w:space="0"/>
              <w:left w:val="single" w:color="4472C4" w:sz="4" w:space="0"/>
              <w:bottom w:val="single" w:color="4472C4" w:sz="4" w:space="0"/>
              <w:right w:val="nil"/>
            </w:tcBorders>
            <w:shd w:val="clear" w:color="auto" w:fill="auto"/>
            <w:vAlign w:val="center"/>
            <w:hideMark/>
          </w:tcPr>
          <w:p w:rsidRPr="00BB4459" w:rsidR="00BB4459" w:rsidP="00BB4459" w:rsidRDefault="00BB4459" w14:paraId="25589793"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xml:space="preserve">ACT Alliance / </w:t>
            </w:r>
            <w:proofErr w:type="spellStart"/>
            <w:r w:rsidRPr="00BB4459">
              <w:rPr>
                <w:rFonts w:ascii="Calibri" w:hAnsi="Calibri" w:eastAsia="Times New Roman" w:cs="Times New Roman"/>
                <w:color w:val="000000"/>
                <w:sz w:val="18"/>
                <w:szCs w:val="18"/>
                <w:lang w:eastAsia="zh-CN"/>
              </w:rPr>
              <w:t>DanChurchAid</w:t>
            </w:r>
            <w:proofErr w:type="spellEnd"/>
          </w:p>
        </w:tc>
        <w:tc>
          <w:tcPr>
            <w:tcW w:w="1231" w:type="dxa"/>
            <w:tcBorders>
              <w:top w:val="single" w:color="4472C4" w:sz="4" w:space="0"/>
              <w:left w:val="nil"/>
              <w:bottom w:val="single" w:color="4472C4" w:sz="4" w:space="0"/>
              <w:right w:val="nil"/>
            </w:tcBorders>
            <w:shd w:val="clear" w:color="auto" w:fill="auto"/>
            <w:noWrap/>
            <w:vAlign w:val="bottom"/>
            <w:hideMark/>
          </w:tcPr>
          <w:p w:rsidRPr="00BB4459" w:rsidR="00BB4459" w:rsidP="00BB4459" w:rsidRDefault="00BB4459" w14:paraId="52BBAE62"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xml:space="preserve">                   3,400,000 </w:t>
            </w:r>
          </w:p>
        </w:tc>
        <w:tc>
          <w:tcPr>
            <w:tcW w:w="1085" w:type="dxa"/>
            <w:tcBorders>
              <w:top w:val="single" w:color="4472C4" w:sz="4" w:space="0"/>
              <w:left w:val="nil"/>
              <w:bottom w:val="single" w:color="4472C4" w:sz="4" w:space="0"/>
              <w:right w:val="nil"/>
            </w:tcBorders>
            <w:shd w:val="clear" w:color="000000" w:fill="FFCCCC"/>
            <w:noWrap/>
            <w:vAlign w:val="bottom"/>
            <w:hideMark/>
          </w:tcPr>
          <w:p w:rsidRPr="00BB4459" w:rsidR="00BB4459" w:rsidP="00BB4459" w:rsidRDefault="00BB4459" w14:paraId="051DB721"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19%</w:t>
            </w:r>
          </w:p>
        </w:tc>
        <w:tc>
          <w:tcPr>
            <w:tcW w:w="1231" w:type="dxa"/>
            <w:tcBorders>
              <w:top w:val="single" w:color="4472C4" w:sz="4" w:space="0"/>
              <w:left w:val="nil"/>
              <w:bottom w:val="single" w:color="4472C4" w:sz="4" w:space="0"/>
              <w:right w:val="nil"/>
            </w:tcBorders>
            <w:shd w:val="clear" w:color="auto" w:fill="auto"/>
            <w:noWrap/>
            <w:vAlign w:val="bottom"/>
            <w:hideMark/>
          </w:tcPr>
          <w:p w:rsidRPr="00BB4459" w:rsidR="00BB4459" w:rsidP="00BB4459" w:rsidRDefault="00BB4459" w14:paraId="60071213" w14:textId="77777777">
            <w:pPr>
              <w:spacing w:after="0" w:line="240" w:lineRule="auto"/>
              <w:jc w:val="right"/>
              <w:rPr>
                <w:rFonts w:ascii="Calibri" w:hAnsi="Calibri" w:eastAsia="Times New Roman" w:cs="Times New Roman"/>
                <w:b/>
                <w:bCs/>
                <w:color w:val="000000"/>
                <w:sz w:val="18"/>
                <w:szCs w:val="18"/>
                <w:lang w:eastAsia="zh-CN"/>
              </w:rPr>
            </w:pPr>
            <w:r w:rsidRPr="00BB4459">
              <w:rPr>
                <w:rFonts w:ascii="Calibri" w:hAnsi="Calibri" w:eastAsia="Times New Roman" w:cs="Times New Roman"/>
                <w:b/>
                <w:bCs/>
                <w:color w:val="000000"/>
                <w:sz w:val="18"/>
                <w:szCs w:val="18"/>
                <w:lang w:eastAsia="zh-CN"/>
              </w:rPr>
              <w:t xml:space="preserve">                   5,807,816 </w:t>
            </w:r>
          </w:p>
        </w:tc>
        <w:tc>
          <w:tcPr>
            <w:tcW w:w="888" w:type="dxa"/>
            <w:tcBorders>
              <w:top w:val="single" w:color="4472C4" w:sz="4" w:space="0"/>
              <w:left w:val="nil"/>
              <w:bottom w:val="nil"/>
              <w:right w:val="nil"/>
            </w:tcBorders>
            <w:shd w:val="clear" w:color="000000" w:fill="FFCCCC"/>
            <w:noWrap/>
            <w:vAlign w:val="bottom"/>
            <w:hideMark/>
          </w:tcPr>
          <w:p w:rsidRPr="00BB4459" w:rsidR="00BB4459" w:rsidP="00BB4459" w:rsidRDefault="00BB4459" w14:paraId="0A4D5FBD"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71%</w:t>
            </w:r>
          </w:p>
        </w:tc>
        <w:tc>
          <w:tcPr>
            <w:tcW w:w="3341" w:type="dxa"/>
            <w:tcBorders>
              <w:top w:val="single" w:color="4472C4" w:sz="4" w:space="0"/>
              <w:left w:val="nil"/>
              <w:bottom w:val="single" w:color="4472C4" w:sz="4" w:space="0"/>
              <w:right w:val="single" w:color="4472C4" w:sz="4" w:space="0"/>
            </w:tcBorders>
            <w:shd w:val="clear" w:color="auto" w:fill="auto"/>
            <w:vAlign w:val="bottom"/>
            <w:hideMark/>
          </w:tcPr>
          <w:p w:rsidRPr="00BB4459" w:rsidR="00BB4459" w:rsidP="00BB4459" w:rsidRDefault="00BB4459" w14:paraId="555E7A4D"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All 14 governorates</w:t>
            </w:r>
          </w:p>
        </w:tc>
      </w:tr>
      <w:tr w:rsidRPr="00BB4459" w:rsidR="00BB4459" w:rsidTr="00F47995" w14:paraId="77D21FAA" w14:textId="77777777">
        <w:trPr>
          <w:trHeight w:val="392"/>
        </w:trPr>
        <w:tc>
          <w:tcPr>
            <w:tcW w:w="2177" w:type="dxa"/>
            <w:tcBorders>
              <w:top w:val="nil"/>
              <w:left w:val="single" w:color="4472C4" w:sz="4" w:space="0"/>
              <w:bottom w:val="single" w:color="4472C4" w:sz="4" w:space="0"/>
              <w:right w:val="nil"/>
            </w:tcBorders>
            <w:shd w:val="clear" w:color="auto" w:fill="auto"/>
            <w:vAlign w:val="center"/>
            <w:hideMark/>
          </w:tcPr>
          <w:p w:rsidRPr="00BB4459" w:rsidR="00BB4459" w:rsidP="00BB4459" w:rsidRDefault="00BB4459" w14:paraId="5DF42A00" w14:textId="77777777">
            <w:pPr>
              <w:spacing w:after="0" w:line="240" w:lineRule="auto"/>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xml:space="preserve">United Nations Development </w:t>
            </w:r>
            <w:proofErr w:type="spellStart"/>
            <w:r w:rsidRPr="00BB4459">
              <w:rPr>
                <w:rFonts w:ascii="Calibri" w:hAnsi="Calibri" w:eastAsia="Times New Roman" w:cs="Times New Roman"/>
                <w:color w:val="000000"/>
                <w:sz w:val="18"/>
                <w:szCs w:val="18"/>
                <w:lang w:eastAsia="zh-CN"/>
              </w:rPr>
              <w:t>Programme</w:t>
            </w:r>
            <w:proofErr w:type="spellEnd"/>
          </w:p>
        </w:tc>
        <w:tc>
          <w:tcPr>
            <w:tcW w:w="1231" w:type="dxa"/>
            <w:tcBorders>
              <w:top w:val="nil"/>
              <w:left w:val="nil"/>
              <w:bottom w:val="single" w:color="4472C4" w:sz="4" w:space="0"/>
              <w:right w:val="nil"/>
            </w:tcBorders>
            <w:shd w:val="clear" w:color="auto" w:fill="auto"/>
            <w:noWrap/>
            <w:vAlign w:val="bottom"/>
            <w:hideMark/>
          </w:tcPr>
          <w:p w:rsidRPr="00BB4459" w:rsidR="00BB4459" w:rsidP="00BB4459" w:rsidRDefault="00BB4459" w14:paraId="7AFC3922"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 xml:space="preserve">                      850,000 </w:t>
            </w:r>
          </w:p>
        </w:tc>
        <w:tc>
          <w:tcPr>
            <w:tcW w:w="1085" w:type="dxa"/>
            <w:tcBorders>
              <w:top w:val="single" w:color="4472C4" w:sz="4" w:space="0"/>
              <w:left w:val="nil"/>
              <w:bottom w:val="single" w:color="4472C4" w:sz="4" w:space="0"/>
              <w:right w:val="nil"/>
            </w:tcBorders>
            <w:shd w:val="clear" w:color="000000" w:fill="FFCCCC"/>
            <w:noWrap/>
            <w:vAlign w:val="bottom"/>
            <w:hideMark/>
          </w:tcPr>
          <w:p w:rsidRPr="00BB4459" w:rsidR="00BB4459" w:rsidP="00BB4459" w:rsidRDefault="00BB4459" w14:paraId="3928C636"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0%</w:t>
            </w:r>
          </w:p>
        </w:tc>
        <w:tc>
          <w:tcPr>
            <w:tcW w:w="1231" w:type="dxa"/>
            <w:tcBorders>
              <w:top w:val="nil"/>
              <w:left w:val="nil"/>
              <w:bottom w:val="single" w:color="4472C4" w:sz="4" w:space="0"/>
              <w:right w:val="nil"/>
            </w:tcBorders>
            <w:shd w:val="clear" w:color="auto" w:fill="auto"/>
            <w:noWrap/>
            <w:vAlign w:val="bottom"/>
            <w:hideMark/>
          </w:tcPr>
          <w:p w:rsidRPr="00BB4459" w:rsidR="00BB4459" w:rsidP="00BB4459" w:rsidRDefault="00BB4459" w14:paraId="6C48DF01" w14:textId="77777777">
            <w:pPr>
              <w:spacing w:after="0" w:line="240" w:lineRule="auto"/>
              <w:jc w:val="right"/>
              <w:rPr>
                <w:rFonts w:ascii="Calibri" w:hAnsi="Calibri" w:eastAsia="Times New Roman" w:cs="Times New Roman"/>
                <w:b/>
                <w:bCs/>
                <w:color w:val="000000"/>
                <w:sz w:val="18"/>
                <w:szCs w:val="18"/>
                <w:lang w:eastAsia="zh-CN"/>
              </w:rPr>
            </w:pPr>
            <w:r w:rsidRPr="00BB4459">
              <w:rPr>
                <w:rFonts w:ascii="Calibri" w:hAnsi="Calibri" w:eastAsia="Times New Roman" w:cs="Times New Roman"/>
                <w:b/>
                <w:bCs/>
                <w:color w:val="000000"/>
                <w:sz w:val="18"/>
                <w:szCs w:val="18"/>
                <w:lang w:eastAsia="zh-CN"/>
              </w:rPr>
              <w:t xml:space="preserve">                   5,452,041 </w:t>
            </w:r>
          </w:p>
        </w:tc>
        <w:tc>
          <w:tcPr>
            <w:tcW w:w="888" w:type="dxa"/>
            <w:tcBorders>
              <w:top w:val="single" w:color="4472C4" w:sz="4" w:space="0"/>
              <w:left w:val="nil"/>
              <w:bottom w:val="nil"/>
              <w:right w:val="nil"/>
            </w:tcBorders>
            <w:shd w:val="clear" w:color="000000" w:fill="FFCCCC"/>
            <w:noWrap/>
            <w:vAlign w:val="bottom"/>
            <w:hideMark/>
          </w:tcPr>
          <w:p w:rsidRPr="00BB4459" w:rsidR="00BB4459" w:rsidP="00BB4459" w:rsidRDefault="00BB4459" w14:paraId="42A01DF4" w14:textId="77777777">
            <w:pPr>
              <w:spacing w:after="0" w:line="240" w:lineRule="auto"/>
              <w:jc w:val="right"/>
              <w:rPr>
                <w:rFonts w:ascii="Calibri" w:hAnsi="Calibri" w:eastAsia="Times New Roman" w:cs="Times New Roman"/>
                <w:color w:val="000000"/>
                <w:sz w:val="18"/>
                <w:szCs w:val="18"/>
                <w:lang w:eastAsia="zh-CN"/>
              </w:rPr>
            </w:pPr>
            <w:r w:rsidRPr="00BB4459">
              <w:rPr>
                <w:rFonts w:ascii="Calibri" w:hAnsi="Calibri" w:eastAsia="Times New Roman" w:cs="Times New Roman"/>
                <w:color w:val="000000"/>
                <w:sz w:val="18"/>
                <w:szCs w:val="18"/>
                <w:lang w:eastAsia="zh-CN"/>
              </w:rPr>
              <w:t>541%</w:t>
            </w:r>
          </w:p>
        </w:tc>
        <w:tc>
          <w:tcPr>
            <w:tcW w:w="3341" w:type="dxa"/>
            <w:tcBorders>
              <w:top w:val="nil"/>
              <w:left w:val="nil"/>
              <w:bottom w:val="single" w:color="4472C4" w:sz="4" w:space="0"/>
              <w:right w:val="single" w:color="4472C4" w:sz="4" w:space="0"/>
            </w:tcBorders>
            <w:shd w:val="clear" w:color="auto" w:fill="auto"/>
            <w:vAlign w:val="bottom"/>
            <w:hideMark/>
          </w:tcPr>
          <w:p w:rsidRPr="00BB4459" w:rsidR="00BB4459" w:rsidP="00BB4459" w:rsidRDefault="00BB4459" w14:paraId="13A9E565" w14:textId="77777777">
            <w:pPr>
              <w:spacing w:after="0" w:line="240" w:lineRule="auto"/>
              <w:rPr>
                <w:rFonts w:ascii="Calibri" w:hAnsi="Calibri" w:eastAsia="Times New Roman" w:cs="Times New Roman"/>
                <w:color w:val="000000"/>
                <w:sz w:val="18"/>
                <w:szCs w:val="18"/>
                <w:lang w:eastAsia="zh-CN"/>
              </w:rPr>
            </w:pPr>
            <w:proofErr w:type="gramStart"/>
            <w:r w:rsidRPr="00BB4459">
              <w:rPr>
                <w:rFonts w:ascii="Calibri" w:hAnsi="Calibri" w:eastAsia="Times New Roman" w:cs="Times New Roman"/>
                <w:color w:val="000000"/>
                <w:sz w:val="18"/>
                <w:szCs w:val="18"/>
                <w:lang w:eastAsia="zh-CN"/>
              </w:rPr>
              <w:t>Aleppo;Al</w:t>
            </w:r>
            <w:proofErr w:type="gramEnd"/>
            <w:r w:rsidRPr="00BB4459">
              <w:rPr>
                <w:rFonts w:ascii="Calibri" w:hAnsi="Calibri" w:eastAsia="Times New Roman" w:cs="Times New Roman"/>
                <w:color w:val="000000"/>
                <w:sz w:val="18"/>
                <w:szCs w:val="18"/>
                <w:lang w:eastAsia="zh-CN"/>
              </w:rPr>
              <w:t xml:space="preserve">-Hasakeh;Ar-Raqqa;As-Sweida;Damascus;Dar'a;Deir-ez-Zor;Hama;HomsLattakia;Quneitra;Rural </w:t>
            </w:r>
            <w:proofErr w:type="spellStart"/>
            <w:r w:rsidRPr="00BB4459">
              <w:rPr>
                <w:rFonts w:ascii="Calibri" w:hAnsi="Calibri" w:eastAsia="Times New Roman" w:cs="Times New Roman"/>
                <w:color w:val="000000"/>
                <w:sz w:val="18"/>
                <w:szCs w:val="18"/>
                <w:lang w:eastAsia="zh-CN"/>
              </w:rPr>
              <w:t>Damascus;Tartous</w:t>
            </w:r>
            <w:proofErr w:type="spellEnd"/>
          </w:p>
        </w:tc>
      </w:tr>
    </w:tbl>
    <w:p w:rsidRPr="00B06C39" w:rsidR="00C62BDA" w:rsidP="00EA1163" w:rsidRDefault="00C62BDA" w14:paraId="40AE4D89" w14:textId="77777777">
      <w:pPr>
        <w:pBdr>
          <w:top w:val="nil"/>
          <w:left w:val="nil"/>
          <w:bottom w:val="nil"/>
          <w:right w:val="nil"/>
          <w:between w:val="nil"/>
        </w:pBdr>
        <w:spacing w:after="0" w:line="240" w:lineRule="auto"/>
        <w:ind w:left="792"/>
        <w:rPr>
          <w:rFonts w:cstheme="minorHAnsi"/>
          <w:color w:val="000000"/>
          <w:sz w:val="20"/>
          <w:szCs w:val="20"/>
        </w:rPr>
      </w:pPr>
    </w:p>
    <w:p w:rsidRPr="00E46DD7" w:rsidR="00735243" w:rsidP="007A28F6" w:rsidRDefault="00735243" w14:paraId="23087362" w14:textId="77777777">
      <w:pPr>
        <w:pBdr>
          <w:top w:val="nil"/>
          <w:left w:val="nil"/>
          <w:bottom w:val="nil"/>
          <w:right w:val="nil"/>
          <w:between w:val="nil"/>
        </w:pBdr>
        <w:spacing w:line="240" w:lineRule="auto"/>
        <w:rPr>
          <w:rFonts w:cstheme="minorHAnsi"/>
          <w:color w:val="000000"/>
          <w:sz w:val="20"/>
          <w:szCs w:val="20"/>
        </w:rPr>
      </w:pPr>
      <w:r w:rsidRPr="00E46DD7">
        <w:rPr>
          <w:rFonts w:cstheme="minorHAnsi"/>
          <w:color w:val="000000"/>
          <w:sz w:val="20"/>
          <w:szCs w:val="20"/>
        </w:rPr>
        <w:br w:type="page"/>
      </w:r>
    </w:p>
    <w:p w:rsidRPr="000C35D5" w:rsidR="00C62BDA" w:rsidP="00EA1163" w:rsidRDefault="00C62BDA" w14:paraId="6AEB55B3" w14:textId="77777777">
      <w:pPr>
        <w:pBdr>
          <w:top w:val="nil"/>
          <w:left w:val="nil"/>
          <w:bottom w:val="nil"/>
          <w:right w:val="nil"/>
          <w:between w:val="nil"/>
        </w:pBdr>
        <w:spacing w:line="240" w:lineRule="auto"/>
        <w:rPr>
          <w:rFonts w:asciiTheme="majorHAnsi" w:hAnsiTheme="majorHAnsi" w:cstheme="majorHAnsi"/>
          <w:color w:val="000000"/>
          <w:sz w:val="20"/>
          <w:szCs w:val="20"/>
        </w:rPr>
      </w:pPr>
    </w:p>
    <w:p w:rsidRPr="00A05C36" w:rsidR="00D07998" w:rsidP="00EA1163" w:rsidRDefault="00D07998" w14:paraId="014BCB55" w14:textId="77777777">
      <w:pPr>
        <w:spacing w:line="240" w:lineRule="auto"/>
        <w:jc w:val="center"/>
        <w:rPr>
          <w:rFonts w:cstheme="minorHAnsi"/>
          <w:b/>
          <w:bCs/>
          <w:sz w:val="24"/>
          <w:szCs w:val="24"/>
        </w:rPr>
      </w:pPr>
      <w:r w:rsidRPr="00A05C36">
        <w:rPr>
          <w:rFonts w:cstheme="minorHAnsi"/>
          <w:b/>
          <w:bCs/>
          <w:sz w:val="24"/>
          <w:szCs w:val="24"/>
        </w:rPr>
        <w:t>CCCM</w:t>
      </w:r>
    </w:p>
    <w:p w:rsidRPr="00D368A9" w:rsidR="00CD69D3" w:rsidP="00EA1163" w:rsidRDefault="00CA529A" w14:paraId="6454D49A" w14:textId="1CB0D3AF">
      <w:pPr>
        <w:spacing w:line="240" w:lineRule="auto"/>
        <w:rPr>
          <w:rFonts w:cstheme="minorHAnsi"/>
          <w:b/>
        </w:rPr>
      </w:pPr>
      <w:r w:rsidRPr="00D368A9">
        <w:rPr>
          <w:rFonts w:cstheme="minorHAnsi"/>
          <w:b/>
        </w:rPr>
        <w:t>Name of coor</w:t>
      </w:r>
      <w:r w:rsidRPr="00D368A9" w:rsidR="00E13B9C">
        <w:rPr>
          <w:rFonts w:cstheme="minorHAnsi"/>
          <w:b/>
        </w:rPr>
        <w:t xml:space="preserve">dinators: </w:t>
      </w:r>
      <w:r w:rsidRPr="00D368A9" w:rsidR="00F50F64">
        <w:rPr>
          <w:rFonts w:cstheme="minorHAnsi"/>
        </w:rPr>
        <w:t>Kamal Mirzayev</w:t>
      </w:r>
      <w:r w:rsidR="00F50F64">
        <w:rPr>
          <w:rFonts w:cstheme="minorHAnsi"/>
        </w:rPr>
        <w:t>/UNHC</w:t>
      </w:r>
      <w:r w:rsidR="00B979CA">
        <w:rPr>
          <w:rFonts w:cstheme="minorHAnsi"/>
        </w:rPr>
        <w:t>R and</w:t>
      </w:r>
      <w:r w:rsidRPr="00D368A9" w:rsidR="00F50F64">
        <w:rPr>
          <w:rFonts w:cstheme="minorHAnsi"/>
        </w:rPr>
        <w:t xml:space="preserve"> </w:t>
      </w:r>
      <w:proofErr w:type="spellStart"/>
      <w:r w:rsidRPr="00D368A9" w:rsidR="002D6972">
        <w:rPr>
          <w:rFonts w:cstheme="minorHAnsi"/>
        </w:rPr>
        <w:t>Amro</w:t>
      </w:r>
      <w:proofErr w:type="spellEnd"/>
      <w:r w:rsidRPr="00D368A9" w:rsidR="002D6972">
        <w:rPr>
          <w:rFonts w:cstheme="minorHAnsi"/>
        </w:rPr>
        <w:t xml:space="preserve"> </w:t>
      </w:r>
      <w:proofErr w:type="spellStart"/>
      <w:r w:rsidRPr="00D368A9" w:rsidR="002D6972">
        <w:rPr>
          <w:rFonts w:cstheme="minorHAnsi"/>
        </w:rPr>
        <w:t>Tarrisi</w:t>
      </w:r>
      <w:proofErr w:type="spellEnd"/>
      <w:r w:rsidR="008E1953">
        <w:rPr>
          <w:rFonts w:cstheme="minorHAnsi"/>
        </w:rPr>
        <w:t xml:space="preserve"> </w:t>
      </w:r>
      <w:r w:rsidR="00991AA3">
        <w:rPr>
          <w:rFonts w:cstheme="minorHAnsi"/>
        </w:rPr>
        <w:t>(</w:t>
      </w:r>
      <w:proofErr w:type="spellStart"/>
      <w:r w:rsidR="008E1953">
        <w:rPr>
          <w:rFonts w:cstheme="minorHAnsi"/>
        </w:rPr>
        <w:t>a</w:t>
      </w:r>
      <w:r w:rsidR="00932128">
        <w:rPr>
          <w:rFonts w:cstheme="minorHAnsi"/>
        </w:rPr>
        <w:t>.i</w:t>
      </w:r>
      <w:proofErr w:type="spellEnd"/>
      <w:r w:rsidR="00991AA3">
        <w:rPr>
          <w:rFonts w:cstheme="minorHAnsi"/>
        </w:rPr>
        <w:t>)</w:t>
      </w:r>
      <w:r w:rsidR="00896680">
        <w:rPr>
          <w:rFonts w:cstheme="minorHAnsi"/>
        </w:rPr>
        <w:t>/Global Communities</w:t>
      </w:r>
      <w:r w:rsidRPr="00D368A9" w:rsidR="002D6972">
        <w:rPr>
          <w:rFonts w:cstheme="minorHAnsi"/>
        </w:rPr>
        <w:t xml:space="preserve"> </w:t>
      </w:r>
    </w:p>
    <w:p w:rsidRPr="00D368A9" w:rsidR="00D07998" w:rsidP="00EA1163" w:rsidRDefault="00213ABA" w14:paraId="0710692E" w14:textId="535B62F3">
      <w:pPr>
        <w:pBdr>
          <w:top w:val="single" w:color="auto" w:sz="4" w:space="1"/>
          <w:left w:val="single" w:color="auto" w:sz="4" w:space="4"/>
          <w:bottom w:val="single" w:color="auto" w:sz="4" w:space="1"/>
          <w:right w:val="single" w:color="auto" w:sz="4" w:space="4"/>
        </w:pBdr>
        <w:spacing w:line="240" w:lineRule="auto"/>
        <w:jc w:val="center"/>
        <w:rPr>
          <w:b/>
          <w:color w:val="2F5496" w:themeColor="accent1" w:themeShade="BF"/>
          <w:highlight w:val="yellow"/>
        </w:rPr>
      </w:pPr>
      <w:r w:rsidRPr="00D368A9">
        <w:rPr>
          <w:b/>
          <w:color w:val="2F5496" w:themeColor="accent1" w:themeShade="BF"/>
          <w:highlight w:val="yellow"/>
        </w:rPr>
        <w:t>Possible</w:t>
      </w:r>
      <w:r w:rsidRPr="00D368A9" w:rsidR="00D07998">
        <w:rPr>
          <w:b/>
          <w:color w:val="2F5496" w:themeColor="accent1" w:themeShade="BF"/>
          <w:highlight w:val="yellow"/>
        </w:rPr>
        <w:t xml:space="preserve"> points to raise</w:t>
      </w:r>
    </w:p>
    <w:p w:rsidRPr="00C021AC" w:rsidR="00D07998" w:rsidP="000D2017" w:rsidRDefault="000D2017" w14:paraId="1B9FB852" w14:textId="23424CB0">
      <w:pPr>
        <w:pStyle w:val="ListParagraph"/>
        <w:numPr>
          <w:ilvl w:val="0"/>
          <w:numId w:val="21"/>
        </w:numPr>
        <w:pBdr>
          <w:top w:val="single" w:color="auto" w:sz="4" w:space="1"/>
          <w:left w:val="single" w:color="auto" w:sz="4" w:space="4"/>
          <w:bottom w:val="single" w:color="auto" w:sz="4" w:space="1"/>
          <w:right w:val="single" w:color="auto" w:sz="4" w:space="4"/>
        </w:pBdr>
        <w:jc w:val="both"/>
        <w:rPr>
          <w:rFonts w:asciiTheme="minorHAnsi" w:hAnsiTheme="minorHAnsi" w:cstheme="minorHAnsi"/>
          <w:b/>
          <w:color w:val="2F5496" w:themeColor="accent1" w:themeShade="BF"/>
        </w:rPr>
      </w:pPr>
      <w:r w:rsidRPr="00C021AC">
        <w:rPr>
          <w:rFonts w:asciiTheme="minorHAnsi" w:hAnsiTheme="minorHAnsi" w:cstheme="minorHAnsi"/>
          <w:b/>
          <w:color w:val="2F5496" w:themeColor="accent1" w:themeShade="BF"/>
        </w:rPr>
        <w:t>What explains the significant drop in CCCM funding requirements in 2021 (while the number of IDPs in sites/camps has increased throughout 2020</w:t>
      </w:r>
      <w:r w:rsidRPr="00C021AC" w:rsidR="006440D1">
        <w:rPr>
          <w:rFonts w:asciiTheme="minorHAnsi" w:hAnsiTheme="minorHAnsi" w:cstheme="minorHAnsi"/>
          <w:b/>
          <w:color w:val="2F5496" w:themeColor="accent1" w:themeShade="BF"/>
        </w:rPr>
        <w:t xml:space="preserve"> and is at a record high</w:t>
      </w:r>
      <w:r w:rsidRPr="00C021AC">
        <w:rPr>
          <w:rFonts w:asciiTheme="minorHAnsi" w:hAnsiTheme="minorHAnsi" w:cstheme="minorHAnsi"/>
          <w:b/>
          <w:color w:val="2F5496" w:themeColor="accent1" w:themeShade="BF"/>
        </w:rPr>
        <w:t xml:space="preserve">)? Is this linked to </w:t>
      </w:r>
      <w:r w:rsidRPr="00C021AC" w:rsidR="006440D1">
        <w:rPr>
          <w:rFonts w:asciiTheme="minorHAnsi" w:hAnsiTheme="minorHAnsi" w:cstheme="minorHAnsi"/>
          <w:b/>
          <w:color w:val="2F5496" w:themeColor="accent1" w:themeShade="BF"/>
        </w:rPr>
        <w:t>a</w:t>
      </w:r>
      <w:r w:rsidRPr="00C021AC">
        <w:rPr>
          <w:rFonts w:asciiTheme="minorHAnsi" w:hAnsiTheme="minorHAnsi" w:cstheme="minorHAnsi"/>
          <w:b/>
          <w:color w:val="2F5496" w:themeColor="accent1" w:themeShade="BF"/>
        </w:rPr>
        <w:t xml:space="preserve"> revised arrangement/division of work between CCCM and S/NFI?</w:t>
      </w:r>
    </w:p>
    <w:p w:rsidRPr="00C021AC" w:rsidR="00090467" w:rsidP="00EA1163" w:rsidRDefault="00090467" w14:paraId="72A43551" w14:textId="11F419F2">
      <w:pPr>
        <w:pBdr>
          <w:top w:val="single" w:color="auto" w:sz="4" w:space="1"/>
          <w:left w:val="single" w:color="auto" w:sz="4" w:space="4"/>
          <w:bottom w:val="single" w:color="auto" w:sz="4" w:space="1"/>
          <w:right w:val="single" w:color="auto" w:sz="4" w:space="4"/>
        </w:pBdr>
        <w:spacing w:after="0" w:line="240" w:lineRule="auto"/>
        <w:jc w:val="both"/>
        <w:rPr>
          <w:rFonts w:cstheme="minorHAnsi"/>
          <w:b/>
          <w:color w:val="2F5496" w:themeColor="accent1" w:themeShade="BF"/>
        </w:rPr>
      </w:pPr>
    </w:p>
    <w:p w:rsidRPr="00C021AC" w:rsidR="00090467" w:rsidP="00090467" w:rsidRDefault="00090467" w14:paraId="5F48FCCE" w14:textId="10E35DFF">
      <w:pPr>
        <w:pStyle w:val="ListParagraph"/>
        <w:numPr>
          <w:ilvl w:val="0"/>
          <w:numId w:val="21"/>
        </w:numPr>
        <w:pBdr>
          <w:top w:val="single" w:color="auto" w:sz="4" w:space="1"/>
          <w:left w:val="single" w:color="auto" w:sz="4" w:space="4"/>
          <w:bottom w:val="single" w:color="auto" w:sz="4" w:space="1"/>
          <w:right w:val="single" w:color="auto" w:sz="4" w:space="4"/>
        </w:pBdr>
        <w:jc w:val="both"/>
        <w:rPr>
          <w:rFonts w:asciiTheme="minorHAnsi" w:hAnsiTheme="minorHAnsi" w:cstheme="minorHAnsi"/>
          <w:b/>
          <w:color w:val="2F5496" w:themeColor="accent1" w:themeShade="BF"/>
        </w:rPr>
      </w:pPr>
      <w:r w:rsidRPr="00C021AC">
        <w:rPr>
          <w:rFonts w:asciiTheme="minorHAnsi" w:hAnsiTheme="minorHAnsi" w:cstheme="minorHAnsi"/>
          <w:b/>
          <w:color w:val="2F5496" w:themeColor="accent1" w:themeShade="BF"/>
        </w:rPr>
        <w:t xml:space="preserve">Despite well communicated needs for IDPs in camps/sites, the CCCM sector </w:t>
      </w:r>
      <w:r w:rsidRPr="00C021AC" w:rsidR="006440D1">
        <w:rPr>
          <w:rFonts w:asciiTheme="minorHAnsi" w:hAnsiTheme="minorHAnsi" w:cstheme="minorHAnsi"/>
          <w:b/>
          <w:color w:val="2F5496" w:themeColor="accent1" w:themeShade="BF"/>
        </w:rPr>
        <w:t xml:space="preserve">unfortunately </w:t>
      </w:r>
      <w:r w:rsidRPr="00C021AC">
        <w:rPr>
          <w:rFonts w:asciiTheme="minorHAnsi" w:hAnsiTheme="minorHAnsi" w:cstheme="minorHAnsi"/>
          <w:b/>
          <w:color w:val="2F5496" w:themeColor="accent1" w:themeShade="BF"/>
        </w:rPr>
        <w:t xml:space="preserve">had the lowest level of funding across all sectors in 2020 (12%). In terms of strengthened advocacy and resource mobilization with donors, what are we not doing well enough, and what should </w:t>
      </w:r>
      <w:r w:rsidRPr="00C021AC" w:rsidR="006440D1">
        <w:rPr>
          <w:rFonts w:asciiTheme="minorHAnsi" w:hAnsiTheme="minorHAnsi" w:cstheme="minorHAnsi"/>
          <w:b/>
          <w:color w:val="2F5496" w:themeColor="accent1" w:themeShade="BF"/>
        </w:rPr>
        <w:t>we do</w:t>
      </w:r>
      <w:r w:rsidRPr="00C021AC">
        <w:rPr>
          <w:rFonts w:asciiTheme="minorHAnsi" w:hAnsiTheme="minorHAnsi" w:cstheme="minorHAnsi"/>
          <w:b/>
          <w:color w:val="2F5496" w:themeColor="accent1" w:themeShade="BF"/>
        </w:rPr>
        <w:t xml:space="preserve"> differently in your view?</w:t>
      </w:r>
    </w:p>
    <w:p w:rsidRPr="000D2017" w:rsidR="000D2017" w:rsidP="00EA1163" w:rsidRDefault="000D2017" w14:paraId="2DB1438B" w14:textId="77777777">
      <w:pPr>
        <w:pBdr>
          <w:top w:val="single" w:color="auto" w:sz="4" w:space="1"/>
          <w:left w:val="single" w:color="auto" w:sz="4" w:space="4"/>
          <w:bottom w:val="single" w:color="auto" w:sz="4" w:space="1"/>
          <w:right w:val="single" w:color="auto" w:sz="4" w:space="4"/>
        </w:pBdr>
        <w:spacing w:after="0" w:line="240" w:lineRule="auto"/>
        <w:jc w:val="both"/>
        <w:rPr>
          <w:rFonts w:asciiTheme="majorHAnsi" w:hAnsiTheme="majorHAnsi" w:cstheme="majorHAnsi"/>
          <w:b/>
          <w:sz w:val="24"/>
          <w:szCs w:val="24"/>
        </w:rPr>
      </w:pPr>
    </w:p>
    <w:p w:rsidRPr="00C021AC" w:rsidR="00C021AC" w:rsidP="00C021AC" w:rsidRDefault="00D368A9" w14:paraId="3E72695D" w14:textId="77777777">
      <w:pPr>
        <w:pStyle w:val="ListParagraph"/>
        <w:numPr>
          <w:ilvl w:val="0"/>
          <w:numId w:val="21"/>
        </w:numPr>
        <w:pBdr>
          <w:top w:val="single" w:color="auto" w:sz="4" w:space="1"/>
          <w:left w:val="single" w:color="auto" w:sz="4" w:space="4"/>
          <w:bottom w:val="single" w:color="auto" w:sz="4" w:space="1"/>
          <w:right w:val="single" w:color="auto" w:sz="4" w:space="4"/>
        </w:pBdr>
        <w:jc w:val="both"/>
        <w:rPr>
          <w:rFonts w:asciiTheme="majorHAnsi" w:hAnsiTheme="majorHAnsi" w:cstheme="majorHAnsi"/>
          <w:b/>
          <w:bCs/>
          <w:color w:val="2F5496" w:themeColor="accent1" w:themeShade="BF"/>
          <w:sz w:val="24"/>
          <w:szCs w:val="24"/>
        </w:rPr>
      </w:pPr>
      <w:r w:rsidRPr="00C021AC">
        <w:rPr>
          <w:b/>
          <w:color w:val="2F5496" w:themeColor="accent1" w:themeShade="BF"/>
        </w:rPr>
        <w:t>As the Sector may again receive incomplete funding</w:t>
      </w:r>
      <w:r w:rsidRPr="00C021AC" w:rsidR="006440D1">
        <w:rPr>
          <w:b/>
          <w:color w:val="2F5496" w:themeColor="accent1" w:themeShade="BF"/>
        </w:rPr>
        <w:t xml:space="preserve"> in 2021, how will you seek to prioritize resources? What coordination takes place with S/NFI, WASH, Education</w:t>
      </w:r>
      <w:r w:rsidRPr="00C021AC" w:rsidR="00C021AC">
        <w:rPr>
          <w:b/>
          <w:bCs/>
          <w:color w:val="2F5496" w:themeColor="accent1" w:themeShade="BF"/>
        </w:rPr>
        <w:t>, Health, etc. for improved impact?</w:t>
      </w:r>
    </w:p>
    <w:p w:rsidRPr="006440D1" w:rsidR="00D368A9" w:rsidP="00EA1163" w:rsidRDefault="006440D1" w14:paraId="52426540" w14:textId="33FB5942">
      <w:pPr>
        <w:pBdr>
          <w:top w:val="single" w:color="auto" w:sz="4" w:space="1"/>
          <w:left w:val="single" w:color="auto" w:sz="4" w:space="4"/>
          <w:bottom w:val="single" w:color="auto" w:sz="4" w:space="1"/>
          <w:right w:val="single" w:color="auto" w:sz="4" w:space="4"/>
        </w:pBdr>
        <w:spacing w:line="240" w:lineRule="auto"/>
        <w:jc w:val="both"/>
        <w:rPr>
          <w:rFonts w:asciiTheme="majorHAnsi" w:hAnsiTheme="majorHAnsi" w:cstheme="majorHAnsi"/>
          <w:b/>
          <w:color w:val="2F5496" w:themeColor="accent1" w:themeShade="BF"/>
          <w:sz w:val="24"/>
          <w:szCs w:val="24"/>
        </w:rPr>
      </w:pPr>
      <w:r w:rsidRPr="006440D1">
        <w:rPr>
          <w:color w:val="2F5496" w:themeColor="accent1" w:themeShade="BF"/>
        </w:rPr>
        <w:t xml:space="preserve"> </w:t>
      </w:r>
      <w:r w:rsidRPr="006440D1" w:rsidR="00D368A9">
        <w:rPr>
          <w:color w:val="2F5496" w:themeColor="accent1" w:themeShade="BF"/>
        </w:rPr>
        <w:t xml:space="preserve"> </w:t>
      </w:r>
    </w:p>
    <w:p w:rsidRPr="00A05C36" w:rsidR="00D07998" w:rsidP="00EA1163" w:rsidRDefault="00D07998" w14:paraId="53C42BAF" w14:textId="77777777">
      <w:pPr>
        <w:spacing w:line="240" w:lineRule="auto"/>
        <w:jc w:val="center"/>
        <w:rPr>
          <w:rFonts w:cstheme="minorHAnsi"/>
          <w:b/>
          <w:bCs/>
          <w:sz w:val="20"/>
          <w:szCs w:val="20"/>
        </w:rPr>
      </w:pPr>
    </w:p>
    <w:p w:rsidRPr="00A05C36" w:rsidR="00D07998" w:rsidP="00EA1163" w:rsidRDefault="00D07998" w14:paraId="27CCAE12" w14:textId="77777777">
      <w:pPr>
        <w:pStyle w:val="ListParagraph"/>
        <w:numPr>
          <w:ilvl w:val="0"/>
          <w:numId w:val="47"/>
        </w:numPr>
        <w:spacing w:after="160"/>
        <w:contextualSpacing/>
        <w:rPr>
          <w:rFonts w:cstheme="minorHAnsi"/>
          <w:b/>
          <w:bCs/>
          <w:sz w:val="20"/>
          <w:szCs w:val="20"/>
        </w:rPr>
      </w:pPr>
      <w:r w:rsidRPr="00A05C36">
        <w:rPr>
          <w:rFonts w:cstheme="minorHAnsi"/>
          <w:b/>
          <w:bCs/>
          <w:sz w:val="20"/>
          <w:szCs w:val="20"/>
        </w:rPr>
        <w:t>2021 Key figures</w:t>
      </w:r>
    </w:p>
    <w:p w:rsidRPr="00A05C36" w:rsidR="00A31F3C" w:rsidP="00A31F3C" w:rsidRDefault="00A31F3C" w14:paraId="1FB3D34B" w14:textId="77777777">
      <w:pPr>
        <w:pStyle w:val="ListParagraph"/>
        <w:spacing w:after="160"/>
        <w:contextualSpacing/>
        <w:rPr>
          <w:rFonts w:cstheme="minorHAnsi"/>
          <w:b/>
          <w:bCs/>
          <w:sz w:val="20"/>
          <w:szCs w:val="20"/>
        </w:rPr>
      </w:pPr>
    </w:p>
    <w:tbl>
      <w:tblPr>
        <w:tblStyle w:val="PlainTable4"/>
        <w:tblW w:w="9355"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29"/>
        <w:gridCol w:w="1231"/>
        <w:gridCol w:w="1230"/>
        <w:gridCol w:w="1232"/>
        <w:gridCol w:w="1233"/>
        <w:gridCol w:w="1232"/>
        <w:gridCol w:w="991"/>
        <w:gridCol w:w="977"/>
      </w:tblGrid>
      <w:tr w:rsidR="00D07998" w:rsidTr="000355D3" w14:paraId="6B430852"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460" w:type="dxa"/>
            <w:gridSpan w:val="2"/>
          </w:tcPr>
          <w:p w:rsidRPr="005374CC" w:rsidR="00D07998" w:rsidP="00191CB2" w:rsidRDefault="00D07998" w14:paraId="723EB124" w14:textId="77777777">
            <w:pPr>
              <w:pStyle w:val="ListParagraph"/>
              <w:ind w:left="0"/>
              <w:jc w:val="center"/>
              <w:rPr>
                <w:b w:val="0"/>
                <w:bCs w:val="0"/>
                <w:i/>
                <w:iCs/>
              </w:rPr>
            </w:pPr>
            <w:r w:rsidRPr="002D6972">
              <w:rPr>
                <w:i/>
                <w:iCs/>
              </w:rPr>
              <w:t>People in Need</w:t>
            </w:r>
          </w:p>
        </w:tc>
        <w:tc>
          <w:tcPr>
            <w:tcW w:w="2462" w:type="dxa"/>
            <w:gridSpan w:val="2"/>
          </w:tcPr>
          <w:p w:rsidRPr="002D6972" w:rsidR="00D07998" w:rsidP="00191CB2" w:rsidRDefault="00D07998" w14:paraId="6A1EB2A7"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2D6972">
              <w:t>Target</w:t>
            </w:r>
          </w:p>
        </w:tc>
        <w:tc>
          <w:tcPr>
            <w:tcW w:w="2465" w:type="dxa"/>
            <w:gridSpan w:val="2"/>
          </w:tcPr>
          <w:p w:rsidRPr="002D6972" w:rsidR="00D07998" w:rsidP="00191CB2" w:rsidRDefault="00D07998" w14:paraId="36B8A52F"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2D6972">
              <w:t>Funding requirements</w:t>
            </w:r>
          </w:p>
        </w:tc>
        <w:tc>
          <w:tcPr>
            <w:tcW w:w="991" w:type="dxa"/>
          </w:tcPr>
          <w:p w:rsidRPr="002D6972" w:rsidR="00D07998" w:rsidP="00191CB2" w:rsidRDefault="00D07998" w14:paraId="64A5C0DB" w14:textId="77777777">
            <w:pPr>
              <w:pStyle w:val="ListParagraph"/>
              <w:ind w:left="0"/>
              <w:cnfStyle w:val="100000000000" w:firstRow="1" w:lastRow="0" w:firstColumn="0" w:lastColumn="0" w:oddVBand="0" w:evenVBand="0" w:oddHBand="0" w:evenHBand="0" w:firstRowFirstColumn="0" w:firstRowLastColumn="0" w:lastRowFirstColumn="0" w:lastRowLastColumn="0"/>
            </w:pPr>
            <w:r w:rsidRPr="002D6972">
              <w:t xml:space="preserve">Partners </w:t>
            </w:r>
          </w:p>
        </w:tc>
        <w:tc>
          <w:tcPr>
            <w:tcW w:w="977" w:type="dxa"/>
          </w:tcPr>
          <w:p w:rsidRPr="002D6972" w:rsidR="00D07998" w:rsidP="00191CB2" w:rsidRDefault="00D07998" w14:paraId="45E48805" w14:textId="77777777">
            <w:pPr>
              <w:pStyle w:val="ListParagraph"/>
              <w:ind w:left="0"/>
              <w:cnfStyle w:val="100000000000" w:firstRow="1" w:lastRow="0" w:firstColumn="0" w:lastColumn="0" w:oddVBand="0" w:evenVBand="0" w:oddHBand="0" w:evenHBand="0" w:firstRowFirstColumn="0" w:firstRowLastColumn="0" w:lastRowFirstColumn="0" w:lastRowLastColumn="0"/>
            </w:pPr>
            <w:r w:rsidRPr="002D6972">
              <w:t xml:space="preserve">Projects </w:t>
            </w:r>
          </w:p>
        </w:tc>
      </w:tr>
      <w:tr w:rsidR="00D07998" w:rsidTr="000355D3" w14:paraId="3B28C43C" w14:textId="7777777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229" w:type="dxa"/>
          </w:tcPr>
          <w:p w:rsidRPr="005374CC" w:rsidR="00D07998" w:rsidP="00A31F3C" w:rsidRDefault="00D07998" w14:paraId="05A33032" w14:textId="77777777">
            <w:pPr>
              <w:pStyle w:val="ListParagraph"/>
              <w:ind w:left="0"/>
              <w:jc w:val="center"/>
              <w:rPr>
                <w:b w:val="0"/>
                <w:bCs w:val="0"/>
                <w:i/>
                <w:iCs/>
                <w:sz w:val="14"/>
                <w:szCs w:val="14"/>
              </w:rPr>
            </w:pPr>
            <w:r w:rsidRPr="005374CC">
              <w:rPr>
                <w:b w:val="0"/>
                <w:bCs w:val="0"/>
                <w:i/>
                <w:iCs/>
                <w:sz w:val="14"/>
                <w:szCs w:val="14"/>
              </w:rPr>
              <w:t>In million</w:t>
            </w:r>
          </w:p>
        </w:tc>
        <w:tc>
          <w:tcPr>
            <w:tcW w:w="1231" w:type="dxa"/>
          </w:tcPr>
          <w:p w:rsidRPr="005374CC" w:rsidR="00D07998" w:rsidP="00A31F3C" w:rsidRDefault="00D07998" w14:paraId="607CB21F"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i/>
                <w:iCs/>
                <w:sz w:val="14"/>
                <w:szCs w:val="14"/>
              </w:rPr>
            </w:pPr>
            <w:r w:rsidRPr="005374CC">
              <w:rPr>
                <w:i/>
                <w:iCs/>
                <w:sz w:val="14"/>
                <w:szCs w:val="14"/>
              </w:rPr>
              <w:t>% variation in 2020</w:t>
            </w:r>
          </w:p>
        </w:tc>
        <w:tc>
          <w:tcPr>
            <w:tcW w:w="1230" w:type="dxa"/>
          </w:tcPr>
          <w:p w:rsidRPr="005374CC" w:rsidR="00D07998" w:rsidP="00A31F3C" w:rsidRDefault="00D07998" w14:paraId="2ACA45CD"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In million</w:t>
            </w:r>
          </w:p>
        </w:tc>
        <w:tc>
          <w:tcPr>
            <w:tcW w:w="1232" w:type="dxa"/>
          </w:tcPr>
          <w:p w:rsidRPr="005374CC" w:rsidR="00D07998" w:rsidP="00A31F3C" w:rsidRDefault="00D07998" w14:paraId="2CE48A96"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1233" w:type="dxa"/>
          </w:tcPr>
          <w:p w:rsidRPr="005374CC" w:rsidR="00D07998" w:rsidP="00191CB2" w:rsidRDefault="00D07998" w14:paraId="56A57069"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US$</w:t>
            </w:r>
          </w:p>
        </w:tc>
        <w:tc>
          <w:tcPr>
            <w:tcW w:w="1232" w:type="dxa"/>
          </w:tcPr>
          <w:p w:rsidRPr="005374CC" w:rsidR="00D07998" w:rsidP="00191CB2" w:rsidRDefault="00D07998" w14:paraId="23D656C5"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991" w:type="dxa"/>
            <w:vMerge w:val="restart"/>
          </w:tcPr>
          <w:p w:rsidR="00D07998" w:rsidP="00191CB2" w:rsidRDefault="00D07998" w14:paraId="70CB893F"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D07998" w:rsidP="00191CB2" w:rsidRDefault="00D07998" w14:paraId="4B5D333E"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 xml:space="preserve">24 </w:t>
            </w:r>
            <w:r w:rsidRPr="002D6972">
              <w:t>(+3)</w:t>
            </w:r>
          </w:p>
        </w:tc>
        <w:tc>
          <w:tcPr>
            <w:tcW w:w="977" w:type="dxa"/>
            <w:vMerge w:val="restart"/>
          </w:tcPr>
          <w:p w:rsidR="00D07998" w:rsidP="00191CB2" w:rsidRDefault="00D07998" w14:paraId="5183A704"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D07998" w:rsidP="00191CB2" w:rsidRDefault="00D07998" w14:paraId="42AB27F5"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 xml:space="preserve">24 </w:t>
            </w:r>
            <w:r w:rsidRPr="002D6972">
              <w:t>(+3)</w:t>
            </w:r>
          </w:p>
        </w:tc>
      </w:tr>
      <w:tr w:rsidR="00D07998" w:rsidTr="000355D3" w14:paraId="7CFBC263" w14:textId="77777777">
        <w:trPr>
          <w:trHeight w:val="288"/>
        </w:trPr>
        <w:tc>
          <w:tcPr>
            <w:cnfStyle w:val="001000000000" w:firstRow="0" w:lastRow="0" w:firstColumn="1" w:lastColumn="0" w:oddVBand="0" w:evenVBand="0" w:oddHBand="0" w:evenHBand="0" w:firstRowFirstColumn="0" w:firstRowLastColumn="0" w:lastRowFirstColumn="0" w:lastRowLastColumn="0"/>
            <w:tcW w:w="1229" w:type="dxa"/>
          </w:tcPr>
          <w:p w:rsidRPr="002D6972" w:rsidR="00D07998" w:rsidP="00A31F3C" w:rsidRDefault="00D07998" w14:paraId="25FD10A8" w14:textId="77777777">
            <w:pPr>
              <w:pStyle w:val="ListParagraph"/>
              <w:ind w:left="0"/>
              <w:jc w:val="center"/>
            </w:pPr>
            <w:r w:rsidRPr="002D6972">
              <w:t>1.9</w:t>
            </w:r>
          </w:p>
        </w:tc>
        <w:tc>
          <w:tcPr>
            <w:tcW w:w="1231" w:type="dxa"/>
          </w:tcPr>
          <w:p w:rsidRPr="0098512A" w:rsidR="00D07998" w:rsidP="00A31F3C" w:rsidRDefault="00D07998" w14:paraId="7874D538"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98512A">
              <w:t>-69%</w:t>
            </w:r>
          </w:p>
        </w:tc>
        <w:tc>
          <w:tcPr>
            <w:tcW w:w="1230" w:type="dxa"/>
          </w:tcPr>
          <w:p w:rsidRPr="002D6972" w:rsidR="00D07998" w:rsidP="00A31F3C" w:rsidRDefault="00D07998" w14:paraId="3524BD88"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r w:rsidRPr="002D6972">
              <w:rPr>
                <w:b/>
                <w:bCs/>
              </w:rPr>
              <w:t>1.9</w:t>
            </w:r>
          </w:p>
        </w:tc>
        <w:tc>
          <w:tcPr>
            <w:tcW w:w="1232" w:type="dxa"/>
          </w:tcPr>
          <w:p w:rsidRPr="0098512A" w:rsidR="00D07998" w:rsidP="00A31F3C" w:rsidRDefault="00D07998" w14:paraId="5D87CB5E"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98512A">
              <w:t>-57%</w:t>
            </w:r>
          </w:p>
        </w:tc>
        <w:tc>
          <w:tcPr>
            <w:tcW w:w="1233" w:type="dxa"/>
          </w:tcPr>
          <w:p w:rsidRPr="002D6972" w:rsidR="00D07998" w:rsidP="00191CB2" w:rsidRDefault="00D07998" w14:paraId="3D91C17F"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r w:rsidRPr="002D6972">
              <w:rPr>
                <w:b/>
                <w:bCs/>
              </w:rPr>
              <w:t>25.7M</w:t>
            </w:r>
          </w:p>
        </w:tc>
        <w:tc>
          <w:tcPr>
            <w:tcW w:w="1232" w:type="dxa"/>
          </w:tcPr>
          <w:p w:rsidRPr="002D6972" w:rsidR="00D07998" w:rsidP="00191CB2" w:rsidRDefault="00D07998" w14:paraId="1BB8F1A4"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D6972">
              <w:t>-22%</w:t>
            </w:r>
          </w:p>
        </w:tc>
        <w:tc>
          <w:tcPr>
            <w:tcW w:w="991" w:type="dxa"/>
            <w:vMerge/>
          </w:tcPr>
          <w:p w:rsidR="00D07998" w:rsidP="00191CB2" w:rsidRDefault="00D07998" w14:paraId="211AE584"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c>
          <w:tcPr>
            <w:tcW w:w="977" w:type="dxa"/>
            <w:vMerge/>
          </w:tcPr>
          <w:p w:rsidR="00D07998" w:rsidP="00191CB2" w:rsidRDefault="00D07998" w14:paraId="1FE3B0A1"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r>
    </w:tbl>
    <w:p w:rsidRPr="00A05C36" w:rsidR="00D07998" w:rsidP="00D07998" w:rsidRDefault="00D07998" w14:paraId="7B2C6B7D" w14:textId="49718540">
      <w:pPr>
        <w:pStyle w:val="ListParagraph"/>
        <w:ind w:left="360"/>
        <w:rPr>
          <w:rFonts w:cstheme="minorHAnsi"/>
          <w:color w:val="2E74B5" w:themeColor="accent5" w:themeShade="BF"/>
          <w:sz w:val="20"/>
          <w:szCs w:val="20"/>
        </w:rPr>
      </w:pPr>
      <w:r w:rsidRPr="005D65F7" w:rsidDel="005D65F7">
        <w:rPr>
          <w:rFonts w:cstheme="minorHAnsi"/>
          <w:color w:val="FF0000"/>
          <w:sz w:val="20"/>
          <w:szCs w:val="20"/>
          <w:highlight w:val="yellow"/>
        </w:rPr>
        <w:t xml:space="preserve"> </w:t>
      </w:r>
    </w:p>
    <w:p w:rsidRPr="00A05C36" w:rsidR="00D07998" w:rsidP="006A5D04" w:rsidRDefault="00D07998" w14:paraId="722497D6" w14:textId="516EBC64">
      <w:pPr>
        <w:pStyle w:val="ListParagraph"/>
        <w:numPr>
          <w:ilvl w:val="0"/>
          <w:numId w:val="47"/>
        </w:numPr>
        <w:rPr>
          <w:b/>
          <w:bCs/>
          <w:sz w:val="20"/>
          <w:szCs w:val="20"/>
        </w:rPr>
      </w:pPr>
      <w:r w:rsidRPr="00A05C36">
        <w:rPr>
          <w:b/>
          <w:bCs/>
          <w:sz w:val="20"/>
          <w:szCs w:val="20"/>
        </w:rPr>
        <w:t xml:space="preserve">Most significant response gaps in 2020: </w:t>
      </w:r>
    </w:p>
    <w:p w:rsidRPr="00A05C36" w:rsidR="00D07998" w:rsidP="00EA1163" w:rsidRDefault="00D07998" w14:paraId="642BA90E" w14:textId="430D31DA">
      <w:pPr>
        <w:pStyle w:val="ListParagraph"/>
        <w:numPr>
          <w:ilvl w:val="0"/>
          <w:numId w:val="22"/>
        </w:numPr>
        <w:spacing w:after="160"/>
        <w:contextualSpacing/>
        <w:jc w:val="both"/>
        <w:rPr>
          <w:sz w:val="20"/>
          <w:szCs w:val="20"/>
        </w:rPr>
      </w:pPr>
      <w:r w:rsidRPr="00A05C36">
        <w:rPr>
          <w:sz w:val="20"/>
          <w:szCs w:val="20"/>
        </w:rPr>
        <w:t xml:space="preserve">People in last resort sites face severe deprivation that cut across all sectors and are highly dependent on humanitarian assistance; IDP sites are designed to act as an option of last-resort and to be temporary in nature, providing only a minimum level of services. However, as the conflict continues, new waves of displacement combined with protracted displacement in shrinking area in NWS and reliance on IDP sites grew in 2020. </w:t>
      </w:r>
      <w:r w:rsidRPr="00A05C36" w:rsidDel="0055238E">
        <w:rPr>
          <w:sz w:val="20"/>
          <w:szCs w:val="20"/>
        </w:rPr>
        <w:t>Similarly</w:t>
      </w:r>
      <w:r w:rsidRPr="0055238E">
        <w:rPr>
          <w:sz w:val="20"/>
          <w:szCs w:val="20"/>
        </w:rPr>
        <w:t>,</w:t>
      </w:r>
      <w:r w:rsidRPr="00A05C36">
        <w:rPr>
          <w:sz w:val="20"/>
          <w:szCs w:val="20"/>
        </w:rPr>
        <w:t xml:space="preserve"> in NES, the number of people displaced starkly increased last year. </w:t>
      </w:r>
    </w:p>
    <w:p w:rsidRPr="00A05C36" w:rsidR="00D07998" w:rsidP="00EA1163" w:rsidRDefault="00D07998" w14:paraId="7A0163D6" w14:textId="3155EEE6">
      <w:pPr>
        <w:pStyle w:val="ListParagraph"/>
        <w:numPr>
          <w:ilvl w:val="0"/>
          <w:numId w:val="22"/>
        </w:numPr>
        <w:spacing w:after="160"/>
        <w:contextualSpacing/>
        <w:jc w:val="both"/>
        <w:rPr>
          <w:rFonts w:cstheme="minorHAnsi"/>
          <w:sz w:val="20"/>
          <w:szCs w:val="20"/>
        </w:rPr>
      </w:pPr>
      <w:r w:rsidRPr="00A05C36">
        <w:rPr>
          <w:rFonts w:cstheme="minorHAnsi"/>
          <w:sz w:val="20"/>
          <w:szCs w:val="20"/>
        </w:rPr>
        <w:t xml:space="preserve">IDP sites are particularly vulnerable locations for COVID-19 transmission; Over-crowded sites, limited access to basic services, and lack of camp management continue to be major challenges in the context of the COVID-19 pandemic where the application of preventive, response and mitigation guidance is essential. </w:t>
      </w:r>
    </w:p>
    <w:p w:rsidRPr="00A05C36" w:rsidR="00D07998" w:rsidP="00EA1163" w:rsidRDefault="00D07998" w14:paraId="2C4DB84B" w14:textId="618D823A">
      <w:pPr>
        <w:pStyle w:val="ListParagraph"/>
        <w:numPr>
          <w:ilvl w:val="0"/>
          <w:numId w:val="22"/>
        </w:numPr>
        <w:spacing w:after="160"/>
        <w:contextualSpacing/>
        <w:jc w:val="both"/>
        <w:rPr>
          <w:rFonts w:cstheme="minorHAnsi"/>
          <w:color w:val="2E74B5" w:themeColor="accent5" w:themeShade="BF"/>
          <w:sz w:val="20"/>
          <w:szCs w:val="20"/>
        </w:rPr>
      </w:pPr>
      <w:r w:rsidRPr="00A05C36">
        <w:rPr>
          <w:rFonts w:cstheme="minorHAnsi"/>
          <w:sz w:val="20"/>
          <w:szCs w:val="20"/>
        </w:rPr>
        <w:t xml:space="preserve">lack of proper infrastructure especially in self-settled IDP sites; incidents (such as floods, fires and high-speed winds) continued to impact IDP sites throughout 2020, exacerbating existing challenges and vulnerabilities. </w:t>
      </w:r>
    </w:p>
    <w:p w:rsidR="00213ABA" w:rsidP="00213ABA" w:rsidRDefault="00213ABA" w14:paraId="5C87BEEA" w14:textId="77777777">
      <w:pPr>
        <w:pStyle w:val="ListParagraph"/>
        <w:rPr>
          <w:b/>
          <w:bCs/>
          <w:sz w:val="20"/>
          <w:szCs w:val="20"/>
        </w:rPr>
      </w:pPr>
    </w:p>
    <w:p w:rsidRPr="00A05C36" w:rsidR="00D07998" w:rsidP="006A5D04" w:rsidRDefault="00D07998" w14:paraId="3CA3EE30" w14:textId="77777777">
      <w:pPr>
        <w:pStyle w:val="ListParagraph"/>
        <w:numPr>
          <w:ilvl w:val="0"/>
          <w:numId w:val="47"/>
        </w:numPr>
        <w:rPr>
          <w:b/>
          <w:bCs/>
          <w:sz w:val="20"/>
          <w:szCs w:val="20"/>
        </w:rPr>
      </w:pPr>
      <w:r w:rsidRPr="00A05C36">
        <w:rPr>
          <w:b/>
          <w:bCs/>
          <w:sz w:val="20"/>
          <w:szCs w:val="20"/>
        </w:rPr>
        <w:t xml:space="preserve">Critical sector priorities in 2021:   </w:t>
      </w:r>
    </w:p>
    <w:p w:rsidRPr="00A05C36" w:rsidR="00D07998" w:rsidP="00EA1163" w:rsidRDefault="00D07998" w14:paraId="4595211A" w14:textId="6C67CA63">
      <w:pPr>
        <w:pStyle w:val="ListParagraph"/>
        <w:numPr>
          <w:ilvl w:val="0"/>
          <w:numId w:val="22"/>
        </w:numPr>
        <w:spacing w:after="160"/>
        <w:contextualSpacing/>
        <w:rPr>
          <w:sz w:val="20"/>
          <w:szCs w:val="20"/>
        </w:rPr>
      </w:pPr>
      <w:r>
        <w:rPr>
          <w:sz w:val="20"/>
          <w:szCs w:val="20"/>
        </w:rPr>
        <w:t>M</w:t>
      </w:r>
      <w:r w:rsidRPr="00A05C36">
        <w:rPr>
          <w:sz w:val="20"/>
          <w:szCs w:val="20"/>
        </w:rPr>
        <w:t xml:space="preserve">onitoring multi-sectoral services in IDP sites in order to identify gaps and strengthen access to basic services (e.g. food, shelter, health, safety, and security). </w:t>
      </w:r>
    </w:p>
    <w:p w:rsidRPr="00A05C36" w:rsidR="00D07998" w:rsidP="00EA1163" w:rsidRDefault="00D07998" w14:paraId="0523BB64" w14:textId="7742B23A">
      <w:pPr>
        <w:pStyle w:val="ListParagraph"/>
        <w:numPr>
          <w:ilvl w:val="0"/>
          <w:numId w:val="22"/>
        </w:numPr>
        <w:spacing w:after="160"/>
        <w:contextualSpacing/>
        <w:jc w:val="both"/>
        <w:rPr>
          <w:rFonts w:cstheme="minorHAnsi"/>
          <w:sz w:val="20"/>
          <w:szCs w:val="20"/>
        </w:rPr>
      </w:pPr>
      <w:r>
        <w:rPr>
          <w:rFonts w:cstheme="minorHAnsi"/>
          <w:sz w:val="20"/>
          <w:szCs w:val="20"/>
        </w:rPr>
        <w:t>E</w:t>
      </w:r>
      <w:r w:rsidRPr="00A05C36">
        <w:rPr>
          <w:rFonts w:cstheme="minorHAnsi"/>
          <w:sz w:val="20"/>
          <w:szCs w:val="20"/>
        </w:rPr>
        <w:t xml:space="preserve">stablishing and reinforcing camp management systems, promoting participatory management structures, as well as capacity development for partners’ staff and camp management actors through remote, mobile, and static methods. </w:t>
      </w:r>
    </w:p>
    <w:p w:rsidRPr="00A05C36" w:rsidR="00D07998" w:rsidP="00EA1163" w:rsidRDefault="00D07998" w14:paraId="46D88FBE" w14:textId="54BC45D8">
      <w:pPr>
        <w:pStyle w:val="ListParagraph"/>
        <w:numPr>
          <w:ilvl w:val="0"/>
          <w:numId w:val="22"/>
        </w:numPr>
        <w:spacing w:after="160"/>
        <w:contextualSpacing/>
        <w:jc w:val="both"/>
        <w:rPr>
          <w:rFonts w:cstheme="minorHAnsi"/>
          <w:sz w:val="20"/>
          <w:szCs w:val="20"/>
        </w:rPr>
      </w:pPr>
      <w:r w:rsidRPr="00A05C36">
        <w:rPr>
          <w:rFonts w:cstheme="minorHAnsi"/>
          <w:sz w:val="20"/>
          <w:szCs w:val="20"/>
        </w:rPr>
        <w:t>Promoting self-resilience by helping IDPs to restore their physical and financial assets. To achieve this, CCCM will focus on resilience building and strengthening coping mechanisms inside planned camps.</w:t>
      </w:r>
    </w:p>
    <w:p w:rsidRPr="00A05C36" w:rsidR="00D07998" w:rsidP="00EA1163" w:rsidRDefault="00D07998" w14:paraId="7D0F5080" w14:textId="77777777">
      <w:pPr>
        <w:pStyle w:val="ListParagraph"/>
        <w:numPr>
          <w:ilvl w:val="0"/>
          <w:numId w:val="22"/>
        </w:numPr>
        <w:spacing w:after="160"/>
        <w:contextualSpacing/>
        <w:jc w:val="both"/>
        <w:rPr>
          <w:rFonts w:cstheme="minorHAnsi"/>
          <w:sz w:val="20"/>
          <w:szCs w:val="20"/>
        </w:rPr>
      </w:pPr>
      <w:r w:rsidRPr="00A05C36">
        <w:rPr>
          <w:rFonts w:cstheme="minorHAnsi"/>
          <w:sz w:val="20"/>
          <w:szCs w:val="20"/>
        </w:rPr>
        <w:t>Coordinating and disseminating operational information on IDP sites are also key priorities for CCCM to analyze trends and quickly identify IDPs in need of assistance (e.g. through information management products).</w:t>
      </w:r>
    </w:p>
    <w:p w:rsidRPr="00224596" w:rsidR="00D07998" w:rsidP="00EA1163" w:rsidRDefault="00D07998" w14:paraId="2693F576" w14:textId="4E2FB184">
      <w:pPr>
        <w:pStyle w:val="ListParagraph"/>
        <w:numPr>
          <w:ilvl w:val="0"/>
          <w:numId w:val="22"/>
        </w:numPr>
        <w:spacing w:after="160"/>
        <w:contextualSpacing/>
        <w:jc w:val="both"/>
        <w:rPr>
          <w:rFonts w:cstheme="minorHAnsi"/>
          <w:sz w:val="20"/>
          <w:szCs w:val="20"/>
        </w:rPr>
      </w:pPr>
      <w:r w:rsidRPr="00A05C36">
        <w:rPr>
          <w:rFonts w:cstheme="minorHAnsi"/>
          <w:sz w:val="20"/>
          <w:szCs w:val="20"/>
        </w:rPr>
        <w:t>Focusing on improving fire response measures, as well as maintenance activities to strengthen basic infrastructure in IDP sites</w:t>
      </w:r>
      <w:r>
        <w:rPr>
          <w:rFonts w:cstheme="minorHAnsi"/>
          <w:sz w:val="20"/>
          <w:szCs w:val="20"/>
        </w:rPr>
        <w:t xml:space="preserve"> and</w:t>
      </w:r>
      <w:r w:rsidRPr="00A05C36">
        <w:rPr>
          <w:rFonts w:cstheme="minorHAnsi"/>
          <w:sz w:val="20"/>
          <w:szCs w:val="20"/>
        </w:rPr>
        <w:t xml:space="preserve"> reduc</w:t>
      </w:r>
      <w:r>
        <w:rPr>
          <w:rFonts w:cstheme="minorHAnsi"/>
          <w:sz w:val="20"/>
          <w:szCs w:val="20"/>
        </w:rPr>
        <w:t>ing</w:t>
      </w:r>
      <w:r w:rsidRPr="00A05C36">
        <w:rPr>
          <w:rFonts w:cstheme="minorHAnsi"/>
          <w:sz w:val="20"/>
          <w:szCs w:val="20"/>
        </w:rPr>
        <w:t xml:space="preserve"> the spread and impact of COVID-19 through specific advocacy and interventions based on lessons learnt from 2020.</w:t>
      </w:r>
    </w:p>
    <w:p w:rsidRPr="00A05C36" w:rsidR="00D07998" w:rsidP="00D07998" w:rsidRDefault="00D07998" w14:paraId="153C7D1F" w14:textId="77777777">
      <w:pPr>
        <w:pStyle w:val="ListParagraph"/>
        <w:jc w:val="both"/>
        <w:rPr>
          <w:rFonts w:cstheme="minorHAnsi"/>
          <w:sz w:val="20"/>
          <w:szCs w:val="20"/>
        </w:rPr>
      </w:pPr>
    </w:p>
    <w:p w:rsidRPr="00A05C36" w:rsidR="00D07998" w:rsidP="00EA1163" w:rsidRDefault="00D07998" w14:paraId="1CDCCF5C" w14:textId="77777777">
      <w:pPr>
        <w:pStyle w:val="ListParagraph"/>
        <w:numPr>
          <w:ilvl w:val="0"/>
          <w:numId w:val="47"/>
        </w:numPr>
        <w:spacing w:after="160"/>
        <w:contextualSpacing/>
        <w:jc w:val="both"/>
        <w:rPr>
          <w:b/>
          <w:bCs/>
          <w:sz w:val="20"/>
          <w:szCs w:val="20"/>
        </w:rPr>
      </w:pPr>
      <w:r w:rsidRPr="00A05C36">
        <w:rPr>
          <w:b/>
          <w:bCs/>
          <w:sz w:val="20"/>
          <w:szCs w:val="20"/>
        </w:rPr>
        <w:t xml:space="preserve">Key messages to donors as at June 2021 (which the HCs could help amplify): </w:t>
      </w:r>
    </w:p>
    <w:p w:rsidRPr="00A05C36" w:rsidR="00D07998" w:rsidP="00EA1163" w:rsidRDefault="00D07998" w14:paraId="01BB387B" w14:textId="77777777">
      <w:pPr>
        <w:pStyle w:val="ListParagraph"/>
        <w:numPr>
          <w:ilvl w:val="0"/>
          <w:numId w:val="22"/>
        </w:numPr>
        <w:spacing w:after="160"/>
        <w:contextualSpacing/>
        <w:rPr>
          <w:sz w:val="20"/>
          <w:szCs w:val="20"/>
        </w:rPr>
      </w:pPr>
      <w:r w:rsidRPr="00A05C36">
        <w:rPr>
          <w:sz w:val="20"/>
          <w:szCs w:val="20"/>
        </w:rPr>
        <w:t xml:space="preserve">Informal IDP sites make up 90% of the sites listed in CCCM’s database for NWS. While retaining freedom of movement, informal sites in both NWS and NES have critical gaps in capacity for site infrastructure and </w:t>
      </w:r>
      <w:proofErr w:type="gramStart"/>
      <w:r w:rsidRPr="00A05C36">
        <w:rPr>
          <w:sz w:val="20"/>
          <w:szCs w:val="20"/>
        </w:rPr>
        <w:t>planning, and</w:t>
      </w:r>
      <w:proofErr w:type="gramEnd"/>
      <w:r w:rsidRPr="00A05C36">
        <w:rPr>
          <w:sz w:val="20"/>
          <w:szCs w:val="20"/>
        </w:rPr>
        <w:t xml:space="preserve"> lack camp management systems.   At the same time, the increase in wait lists to camps, particularly NES is signifying the </w:t>
      </w:r>
      <w:proofErr w:type="spellStart"/>
      <w:r w:rsidRPr="00A05C36">
        <w:rPr>
          <w:sz w:val="20"/>
          <w:szCs w:val="20"/>
        </w:rPr>
        <w:t>deterioratsing</w:t>
      </w:r>
      <w:proofErr w:type="spellEnd"/>
      <w:r w:rsidRPr="00A05C36">
        <w:rPr>
          <w:sz w:val="20"/>
          <w:szCs w:val="20"/>
        </w:rPr>
        <w:t xml:space="preserve"> economic conditions and limited absorption capacity in communities. </w:t>
      </w:r>
    </w:p>
    <w:p w:rsidRPr="00A05C36" w:rsidR="00D07998" w:rsidP="00EA1163" w:rsidRDefault="00D07998" w14:paraId="0672754B" w14:textId="77777777">
      <w:pPr>
        <w:pStyle w:val="ListParagraph"/>
        <w:numPr>
          <w:ilvl w:val="0"/>
          <w:numId w:val="22"/>
        </w:numPr>
        <w:spacing w:after="160"/>
        <w:contextualSpacing/>
        <w:jc w:val="both"/>
        <w:rPr>
          <w:rFonts w:cstheme="minorHAnsi"/>
          <w:sz w:val="20"/>
          <w:szCs w:val="20"/>
        </w:rPr>
      </w:pPr>
      <w:r w:rsidRPr="00A05C36">
        <w:rPr>
          <w:rFonts w:cstheme="minorHAnsi"/>
          <w:sz w:val="20"/>
          <w:szCs w:val="20"/>
        </w:rPr>
        <w:t>Across settlement types, assistance and shelter options are overstretched, and additional challenges like the COVID-19 pandemic and severe economic decline makes access to basic goods and services even more difficult. Any disruption of services, even for a short period, could therefore lead to major humanitarian consequences.</w:t>
      </w:r>
    </w:p>
    <w:p w:rsidRPr="00A05C36" w:rsidR="00D07998" w:rsidP="00EA1163" w:rsidRDefault="00D07998" w14:paraId="700A70F9" w14:textId="77777777">
      <w:pPr>
        <w:pStyle w:val="ListParagraph"/>
        <w:numPr>
          <w:ilvl w:val="0"/>
          <w:numId w:val="22"/>
        </w:numPr>
        <w:spacing w:after="160"/>
        <w:contextualSpacing/>
        <w:jc w:val="both"/>
        <w:rPr>
          <w:rFonts w:cstheme="minorHAnsi"/>
          <w:sz w:val="20"/>
          <w:szCs w:val="20"/>
        </w:rPr>
      </w:pPr>
      <w:r w:rsidRPr="00A05C36">
        <w:rPr>
          <w:rFonts w:cstheme="minorHAnsi"/>
          <w:sz w:val="20"/>
          <w:szCs w:val="20"/>
        </w:rPr>
        <w:t xml:space="preserve">CCCM’s activities are critical to maintain a minimum level of life-saving assistance and avoid further harm in IDP sites. Monitoring the situation in IDP sites, including multi-sectoral assistance, is an important element needed to analyze trends on the ground and better inform interventions. CCCM’s coordination role and information management tools are also essential to ensure a speedy response to weather-related incidents that pose threats to already vulnerable IDP sites. </w:t>
      </w:r>
    </w:p>
    <w:p w:rsidRPr="006800B3" w:rsidR="00D07998" w:rsidDel="00224596" w:rsidP="00EA1163" w:rsidRDefault="00D07998" w14:paraId="02C8D140" w14:textId="77777777">
      <w:pPr>
        <w:spacing w:line="240" w:lineRule="auto"/>
        <w:rPr>
          <w:rFonts w:cstheme="minorHAnsi"/>
          <w:b/>
          <w:bCs/>
          <w:sz w:val="20"/>
          <w:szCs w:val="20"/>
        </w:rPr>
      </w:pPr>
    </w:p>
    <w:p w:rsidRPr="00C016CD" w:rsidR="00D07998" w:rsidP="00C016CD" w:rsidRDefault="00D07998" w14:paraId="425FDAE1" w14:textId="73ACAB6C">
      <w:pPr>
        <w:spacing w:line="240" w:lineRule="auto"/>
        <w:rPr>
          <w:rFonts w:cstheme="minorHAnsi"/>
          <w:b/>
          <w:sz w:val="20"/>
          <w:szCs w:val="20"/>
        </w:rPr>
      </w:pPr>
      <w:r w:rsidRPr="00C016CD">
        <w:rPr>
          <w:rFonts w:cstheme="minorHAnsi"/>
          <w:b/>
          <w:sz w:val="20"/>
          <w:szCs w:val="20"/>
        </w:rPr>
        <w:t xml:space="preserve">Top appealing organizations in the sector: </w:t>
      </w:r>
    </w:p>
    <w:tbl>
      <w:tblPr>
        <w:tblW w:w="9553" w:type="dxa"/>
        <w:jc w:val="center"/>
        <w:tblLook w:val="04A0" w:firstRow="1" w:lastRow="0" w:firstColumn="1" w:lastColumn="0" w:noHBand="0" w:noVBand="1"/>
      </w:tblPr>
      <w:tblGrid>
        <w:gridCol w:w="2196"/>
        <w:gridCol w:w="1231"/>
        <w:gridCol w:w="1085"/>
        <w:gridCol w:w="1231"/>
        <w:gridCol w:w="888"/>
        <w:gridCol w:w="2922"/>
      </w:tblGrid>
      <w:tr w:rsidRPr="00E84445" w:rsidR="00E84445" w:rsidTr="00BD79C6" w14:paraId="33DB0746" w14:textId="77777777">
        <w:trPr>
          <w:trHeight w:val="389"/>
          <w:jc w:val="center"/>
        </w:trPr>
        <w:tc>
          <w:tcPr>
            <w:tcW w:w="2425" w:type="dxa"/>
            <w:tcBorders>
              <w:top w:val="single" w:color="4472C4" w:sz="4" w:space="0"/>
              <w:left w:val="single" w:color="4472C4" w:sz="4" w:space="0"/>
              <w:bottom w:val="nil"/>
              <w:right w:val="nil"/>
            </w:tcBorders>
            <w:shd w:val="clear" w:color="4472C4" w:fill="4472C4"/>
            <w:vAlign w:val="center"/>
            <w:hideMark/>
          </w:tcPr>
          <w:p w:rsidRPr="00E84445" w:rsidR="00E84445" w:rsidP="00E84445" w:rsidRDefault="00E84445" w14:paraId="73D69A99" w14:textId="77777777">
            <w:pPr>
              <w:spacing w:after="0" w:line="240" w:lineRule="auto"/>
              <w:rPr>
                <w:rFonts w:ascii="Calibri" w:hAnsi="Calibri" w:eastAsia="Times New Roman" w:cs="Times New Roman"/>
                <w:b/>
                <w:bCs/>
                <w:color w:val="FFFFFF"/>
                <w:sz w:val="18"/>
                <w:szCs w:val="18"/>
                <w:lang w:eastAsia="zh-CN"/>
              </w:rPr>
            </w:pPr>
            <w:r w:rsidRPr="00E84445">
              <w:rPr>
                <w:rFonts w:ascii="Calibri" w:hAnsi="Calibri" w:eastAsia="Times New Roman" w:cs="Times New Roman"/>
                <w:b/>
                <w:bCs/>
                <w:color w:val="FFFFFF"/>
                <w:sz w:val="18"/>
                <w:szCs w:val="18"/>
                <w:lang w:eastAsia="zh-CN"/>
              </w:rPr>
              <w:t>Organizations</w:t>
            </w:r>
          </w:p>
        </w:tc>
        <w:tc>
          <w:tcPr>
            <w:tcW w:w="1053" w:type="dxa"/>
            <w:tcBorders>
              <w:top w:val="single" w:color="4472C4" w:sz="4" w:space="0"/>
              <w:left w:val="nil"/>
              <w:bottom w:val="nil"/>
              <w:right w:val="nil"/>
            </w:tcBorders>
            <w:shd w:val="clear" w:color="4472C4" w:fill="4472C4"/>
            <w:vAlign w:val="bottom"/>
            <w:hideMark/>
          </w:tcPr>
          <w:p w:rsidRPr="00E84445" w:rsidR="00E84445" w:rsidP="00E84445" w:rsidRDefault="00E84445" w14:paraId="0AF5D838" w14:textId="77777777">
            <w:pPr>
              <w:spacing w:after="0" w:line="240" w:lineRule="auto"/>
              <w:jc w:val="right"/>
              <w:rPr>
                <w:rFonts w:ascii="Calibri" w:hAnsi="Calibri" w:eastAsia="Times New Roman" w:cs="Times New Roman"/>
                <w:b/>
                <w:bCs/>
                <w:color w:val="FFFFFF"/>
                <w:sz w:val="18"/>
                <w:szCs w:val="18"/>
                <w:lang w:eastAsia="zh-CN"/>
              </w:rPr>
            </w:pPr>
            <w:r w:rsidRPr="00E84445">
              <w:rPr>
                <w:rFonts w:ascii="Calibri" w:hAnsi="Calibri" w:eastAsia="Times New Roman" w:cs="Times New Roman"/>
                <w:b/>
                <w:bCs/>
                <w:color w:val="FFFFFF"/>
                <w:sz w:val="18"/>
                <w:szCs w:val="18"/>
                <w:lang w:eastAsia="zh-CN"/>
              </w:rPr>
              <w:t xml:space="preserve"> 2020 requirements US$ </w:t>
            </w:r>
          </w:p>
        </w:tc>
        <w:tc>
          <w:tcPr>
            <w:tcW w:w="995" w:type="dxa"/>
            <w:tcBorders>
              <w:top w:val="single" w:color="4472C4" w:sz="4" w:space="0"/>
              <w:left w:val="nil"/>
              <w:bottom w:val="nil"/>
              <w:right w:val="nil"/>
            </w:tcBorders>
            <w:shd w:val="clear" w:color="4472C4" w:fill="4472C4"/>
            <w:vAlign w:val="bottom"/>
            <w:hideMark/>
          </w:tcPr>
          <w:p w:rsidRPr="00E84445" w:rsidR="00E84445" w:rsidP="00E84445" w:rsidRDefault="00E84445" w14:paraId="1474A0E8" w14:textId="77777777">
            <w:pPr>
              <w:spacing w:after="0" w:line="240" w:lineRule="auto"/>
              <w:jc w:val="right"/>
              <w:rPr>
                <w:rFonts w:ascii="Calibri" w:hAnsi="Calibri" w:eastAsia="Times New Roman" w:cs="Times New Roman"/>
                <w:b/>
                <w:bCs/>
                <w:color w:val="FFFFFF"/>
                <w:sz w:val="18"/>
                <w:szCs w:val="18"/>
                <w:lang w:eastAsia="zh-CN"/>
              </w:rPr>
            </w:pPr>
            <w:r w:rsidRPr="00E84445">
              <w:rPr>
                <w:rFonts w:ascii="Calibri" w:hAnsi="Calibri" w:eastAsia="Times New Roman" w:cs="Times New Roman"/>
                <w:b/>
                <w:bCs/>
                <w:color w:val="FFFFFF"/>
                <w:sz w:val="18"/>
                <w:szCs w:val="18"/>
                <w:lang w:eastAsia="zh-CN"/>
              </w:rPr>
              <w:t xml:space="preserve">2020 </w:t>
            </w:r>
            <w:r w:rsidRPr="00E84445">
              <w:rPr>
                <w:rFonts w:ascii="Calibri" w:hAnsi="Calibri" w:eastAsia="Times New Roman" w:cs="Times New Roman"/>
                <w:b/>
                <w:bCs/>
                <w:color w:val="FFFFFF"/>
                <w:sz w:val="18"/>
                <w:szCs w:val="18"/>
                <w:lang w:eastAsia="zh-CN"/>
              </w:rPr>
              <w:br/>
            </w:r>
            <w:r w:rsidRPr="00E84445">
              <w:rPr>
                <w:rFonts w:ascii="Calibri" w:hAnsi="Calibri" w:eastAsia="Times New Roman" w:cs="Times New Roman"/>
                <w:b/>
                <w:bCs/>
                <w:color w:val="FFFFFF"/>
                <w:sz w:val="18"/>
                <w:szCs w:val="18"/>
                <w:lang w:eastAsia="zh-CN"/>
              </w:rPr>
              <w:t>Coverage %</w:t>
            </w:r>
          </w:p>
        </w:tc>
        <w:tc>
          <w:tcPr>
            <w:tcW w:w="1053" w:type="dxa"/>
            <w:tcBorders>
              <w:top w:val="single" w:color="4472C4" w:sz="4" w:space="0"/>
              <w:left w:val="nil"/>
              <w:bottom w:val="nil"/>
              <w:right w:val="nil"/>
            </w:tcBorders>
            <w:shd w:val="clear" w:color="4472C4" w:fill="4472C4"/>
            <w:vAlign w:val="bottom"/>
            <w:hideMark/>
          </w:tcPr>
          <w:p w:rsidRPr="00E84445" w:rsidR="00E84445" w:rsidP="00E84445" w:rsidRDefault="00E84445" w14:paraId="594D9F79" w14:textId="77777777">
            <w:pPr>
              <w:spacing w:after="0" w:line="240" w:lineRule="auto"/>
              <w:jc w:val="right"/>
              <w:rPr>
                <w:rFonts w:ascii="Calibri" w:hAnsi="Calibri" w:eastAsia="Times New Roman" w:cs="Times New Roman"/>
                <w:b/>
                <w:bCs/>
                <w:color w:val="FFFFFF"/>
                <w:sz w:val="18"/>
                <w:szCs w:val="18"/>
                <w:lang w:eastAsia="zh-CN"/>
              </w:rPr>
            </w:pPr>
            <w:r w:rsidRPr="00E84445">
              <w:rPr>
                <w:rFonts w:ascii="Calibri" w:hAnsi="Calibri" w:eastAsia="Times New Roman" w:cs="Times New Roman"/>
                <w:b/>
                <w:bCs/>
                <w:color w:val="FFFFFF"/>
                <w:sz w:val="18"/>
                <w:szCs w:val="18"/>
                <w:lang w:eastAsia="zh-CN"/>
              </w:rPr>
              <w:t xml:space="preserve"> 2021 requirements US$ </w:t>
            </w:r>
          </w:p>
        </w:tc>
        <w:tc>
          <w:tcPr>
            <w:tcW w:w="777" w:type="dxa"/>
            <w:tcBorders>
              <w:top w:val="single" w:color="4472C4" w:sz="4" w:space="0"/>
              <w:left w:val="nil"/>
              <w:bottom w:val="nil"/>
              <w:right w:val="nil"/>
            </w:tcBorders>
            <w:shd w:val="clear" w:color="4472C4" w:fill="4472C4"/>
            <w:vAlign w:val="bottom"/>
            <w:hideMark/>
          </w:tcPr>
          <w:p w:rsidRPr="00E84445" w:rsidR="00E84445" w:rsidP="00E84445" w:rsidRDefault="00E84445" w14:paraId="11EBD1D5" w14:textId="77777777">
            <w:pPr>
              <w:spacing w:after="0" w:line="240" w:lineRule="auto"/>
              <w:jc w:val="right"/>
              <w:rPr>
                <w:rFonts w:ascii="Calibri" w:hAnsi="Calibri" w:eastAsia="Times New Roman" w:cs="Times New Roman"/>
                <w:b/>
                <w:bCs/>
                <w:color w:val="FFFFFF"/>
                <w:sz w:val="18"/>
                <w:szCs w:val="18"/>
                <w:lang w:eastAsia="zh-CN"/>
              </w:rPr>
            </w:pPr>
            <w:r w:rsidRPr="00E84445">
              <w:rPr>
                <w:rFonts w:ascii="Calibri" w:hAnsi="Calibri" w:eastAsia="Times New Roman" w:cs="Times New Roman"/>
                <w:b/>
                <w:bCs/>
                <w:color w:val="FFFFFF"/>
                <w:sz w:val="18"/>
                <w:szCs w:val="18"/>
                <w:lang w:eastAsia="zh-CN"/>
              </w:rPr>
              <w:t>% variation to 2020</w:t>
            </w:r>
          </w:p>
        </w:tc>
        <w:tc>
          <w:tcPr>
            <w:tcW w:w="3250" w:type="dxa"/>
            <w:tcBorders>
              <w:top w:val="single" w:color="4472C4" w:sz="4" w:space="0"/>
              <w:left w:val="nil"/>
              <w:bottom w:val="nil"/>
              <w:right w:val="single" w:color="4472C4" w:sz="4" w:space="0"/>
            </w:tcBorders>
            <w:shd w:val="clear" w:color="4472C4" w:fill="4472C4"/>
            <w:vAlign w:val="bottom"/>
            <w:hideMark/>
          </w:tcPr>
          <w:p w:rsidRPr="00E84445" w:rsidR="00E84445" w:rsidP="00E84445" w:rsidRDefault="00E84445" w14:paraId="1EDD88EF" w14:textId="77777777">
            <w:pPr>
              <w:spacing w:after="0" w:line="240" w:lineRule="auto"/>
              <w:rPr>
                <w:rFonts w:ascii="Calibri" w:hAnsi="Calibri" w:eastAsia="Times New Roman" w:cs="Times New Roman"/>
                <w:b/>
                <w:bCs/>
                <w:color w:val="FFFFFF"/>
                <w:sz w:val="18"/>
                <w:szCs w:val="18"/>
                <w:lang w:eastAsia="zh-CN"/>
              </w:rPr>
            </w:pPr>
            <w:r w:rsidRPr="00E84445">
              <w:rPr>
                <w:rFonts w:ascii="Calibri" w:hAnsi="Calibri" w:eastAsia="Times New Roman" w:cs="Times New Roman"/>
                <w:b/>
                <w:bCs/>
                <w:color w:val="FFFFFF"/>
                <w:sz w:val="18"/>
                <w:szCs w:val="18"/>
                <w:lang w:eastAsia="zh-CN"/>
              </w:rPr>
              <w:t xml:space="preserve"> Geographic coverage</w:t>
            </w:r>
            <w:r w:rsidRPr="00E84445">
              <w:rPr>
                <w:rFonts w:ascii="Calibri" w:hAnsi="Calibri" w:eastAsia="Times New Roman" w:cs="Times New Roman"/>
                <w:b/>
                <w:bCs/>
                <w:color w:val="FFFFFF"/>
                <w:sz w:val="18"/>
                <w:szCs w:val="18"/>
                <w:lang w:eastAsia="zh-CN"/>
              </w:rPr>
              <w:br/>
            </w:r>
            <w:r w:rsidRPr="00E84445">
              <w:rPr>
                <w:rFonts w:ascii="Calibri" w:hAnsi="Calibri" w:eastAsia="Times New Roman" w:cs="Times New Roman"/>
                <w:b/>
                <w:bCs/>
                <w:color w:val="FFFFFF"/>
                <w:sz w:val="18"/>
                <w:szCs w:val="18"/>
                <w:lang w:eastAsia="zh-CN"/>
              </w:rPr>
              <w:t xml:space="preserve">(main governorates) </w:t>
            </w:r>
          </w:p>
        </w:tc>
      </w:tr>
      <w:tr w:rsidRPr="00E84445" w:rsidR="00E84445" w:rsidTr="00BD79C6" w14:paraId="39FD5669" w14:textId="77777777">
        <w:trPr>
          <w:trHeight w:val="227"/>
          <w:jc w:val="center"/>
        </w:trPr>
        <w:tc>
          <w:tcPr>
            <w:tcW w:w="2425" w:type="dxa"/>
            <w:tcBorders>
              <w:top w:val="single" w:color="4472C4" w:sz="4" w:space="0"/>
              <w:left w:val="single" w:color="4472C4" w:sz="4" w:space="0"/>
              <w:bottom w:val="nil"/>
              <w:right w:val="nil"/>
            </w:tcBorders>
            <w:shd w:val="clear" w:color="auto" w:fill="auto"/>
            <w:vAlign w:val="center"/>
            <w:hideMark/>
          </w:tcPr>
          <w:p w:rsidRPr="00E84445" w:rsidR="00E84445" w:rsidP="00E84445" w:rsidRDefault="00E84445" w14:paraId="74B2E916" w14:textId="77777777">
            <w:pPr>
              <w:spacing w:after="0" w:line="240" w:lineRule="auto"/>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International Organization for Migration</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0EA4D6F9"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xml:space="preserve">                   5,708,907 </w:t>
            </w:r>
          </w:p>
        </w:tc>
        <w:tc>
          <w:tcPr>
            <w:tcW w:w="995" w:type="dxa"/>
            <w:tcBorders>
              <w:top w:val="single" w:color="4472C4" w:sz="4" w:space="0"/>
              <w:left w:val="nil"/>
              <w:bottom w:val="nil"/>
              <w:right w:val="nil"/>
            </w:tcBorders>
            <w:shd w:val="clear" w:color="000000" w:fill="FFF2CC"/>
            <w:noWrap/>
            <w:vAlign w:val="bottom"/>
            <w:hideMark/>
          </w:tcPr>
          <w:p w:rsidRPr="00E84445" w:rsidR="00E84445" w:rsidP="00E84445" w:rsidRDefault="00E84445" w14:paraId="64D7CA2C"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44%</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4573F145" w14:textId="77777777">
            <w:pPr>
              <w:spacing w:after="0" w:line="240" w:lineRule="auto"/>
              <w:jc w:val="right"/>
              <w:rPr>
                <w:rFonts w:ascii="Calibri" w:hAnsi="Calibri" w:eastAsia="Times New Roman" w:cs="Times New Roman"/>
                <w:b/>
                <w:color w:val="000000"/>
                <w:sz w:val="18"/>
                <w:szCs w:val="18"/>
                <w:lang w:eastAsia="zh-CN"/>
              </w:rPr>
            </w:pPr>
            <w:r w:rsidRPr="00E84445">
              <w:rPr>
                <w:rFonts w:ascii="Calibri" w:hAnsi="Calibri" w:eastAsia="Times New Roman" w:cs="Times New Roman"/>
                <w:b/>
                <w:color w:val="000000"/>
                <w:sz w:val="18"/>
                <w:szCs w:val="18"/>
                <w:lang w:eastAsia="zh-CN"/>
              </w:rPr>
              <w:t xml:space="preserve">                   8,400,000 </w:t>
            </w:r>
          </w:p>
        </w:tc>
        <w:tc>
          <w:tcPr>
            <w:tcW w:w="777" w:type="dxa"/>
            <w:tcBorders>
              <w:top w:val="single" w:color="4472C4" w:sz="4" w:space="0"/>
              <w:left w:val="nil"/>
              <w:bottom w:val="nil"/>
              <w:right w:val="nil"/>
            </w:tcBorders>
            <w:shd w:val="clear" w:color="000000" w:fill="FFF2CC"/>
            <w:noWrap/>
            <w:vAlign w:val="bottom"/>
            <w:hideMark/>
          </w:tcPr>
          <w:p w:rsidRPr="00E84445" w:rsidR="00E84445" w:rsidP="00E84445" w:rsidRDefault="00E84445" w14:paraId="0BFBC481"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47%</w:t>
            </w:r>
          </w:p>
        </w:tc>
        <w:tc>
          <w:tcPr>
            <w:tcW w:w="3250" w:type="dxa"/>
            <w:tcBorders>
              <w:top w:val="single" w:color="4472C4" w:sz="4" w:space="0"/>
              <w:left w:val="nil"/>
              <w:bottom w:val="nil"/>
              <w:right w:val="single" w:color="4472C4" w:sz="4" w:space="0"/>
            </w:tcBorders>
            <w:shd w:val="clear" w:color="auto" w:fill="auto"/>
            <w:vAlign w:val="bottom"/>
            <w:hideMark/>
          </w:tcPr>
          <w:p w:rsidRPr="00E84445" w:rsidR="00E84445" w:rsidP="00E84445" w:rsidRDefault="00E84445" w14:paraId="54AE3392"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84445">
              <w:rPr>
                <w:rFonts w:ascii="Calibri" w:hAnsi="Calibri" w:eastAsia="Times New Roman" w:cs="Times New Roman"/>
                <w:color w:val="000000"/>
                <w:sz w:val="18"/>
                <w:szCs w:val="18"/>
                <w:lang w:eastAsia="zh-CN"/>
              </w:rPr>
              <w:t>Aleppo;Idleb</w:t>
            </w:r>
            <w:proofErr w:type="spellEnd"/>
            <w:proofErr w:type="gramEnd"/>
          </w:p>
        </w:tc>
      </w:tr>
      <w:tr w:rsidRPr="003E71A0" w:rsidR="00E84445" w:rsidTr="00BD79C6" w14:paraId="135218DF" w14:textId="77777777">
        <w:trPr>
          <w:trHeight w:val="227"/>
          <w:jc w:val="center"/>
        </w:trPr>
        <w:tc>
          <w:tcPr>
            <w:tcW w:w="2425" w:type="dxa"/>
            <w:tcBorders>
              <w:top w:val="single" w:color="4472C4" w:sz="4" w:space="0"/>
              <w:left w:val="single" w:color="4472C4" w:sz="4" w:space="0"/>
              <w:bottom w:val="nil"/>
              <w:right w:val="nil"/>
            </w:tcBorders>
            <w:shd w:val="clear" w:color="auto" w:fill="auto"/>
            <w:vAlign w:val="center"/>
            <w:hideMark/>
          </w:tcPr>
          <w:p w:rsidRPr="00E84445" w:rsidR="00E84445" w:rsidP="00E84445" w:rsidRDefault="00E84445" w14:paraId="46E8C2FA" w14:textId="77777777">
            <w:pPr>
              <w:spacing w:after="0" w:line="240" w:lineRule="auto"/>
              <w:rPr>
                <w:rFonts w:ascii="Calibri" w:hAnsi="Calibri" w:eastAsia="Times New Roman" w:cs="Times New Roman"/>
                <w:color w:val="000000"/>
                <w:sz w:val="18"/>
                <w:szCs w:val="18"/>
                <w:lang w:eastAsia="zh-CN"/>
              </w:rPr>
            </w:pPr>
            <w:proofErr w:type="spellStart"/>
            <w:r w:rsidRPr="00E84445">
              <w:rPr>
                <w:rFonts w:ascii="Calibri" w:hAnsi="Calibri" w:eastAsia="Times New Roman" w:cs="Times New Roman"/>
                <w:color w:val="000000"/>
                <w:sz w:val="18"/>
                <w:szCs w:val="18"/>
                <w:lang w:eastAsia="zh-CN"/>
              </w:rPr>
              <w:t>Blumont</w:t>
            </w:r>
            <w:proofErr w:type="spellEnd"/>
            <w:r w:rsidRPr="00E84445">
              <w:rPr>
                <w:rFonts w:ascii="Calibri" w:hAnsi="Calibri" w:eastAsia="Times New Roman" w:cs="Times New Roman"/>
                <w:color w:val="000000"/>
                <w:sz w:val="18"/>
                <w:szCs w:val="18"/>
                <w:lang w:eastAsia="zh-CN"/>
              </w:rPr>
              <w:t xml:space="preserve"> International</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6A8CB993"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w:t>
            </w:r>
          </w:p>
        </w:tc>
        <w:tc>
          <w:tcPr>
            <w:tcW w:w="995" w:type="dxa"/>
            <w:tcBorders>
              <w:top w:val="single" w:color="4472C4" w:sz="4" w:space="0"/>
              <w:left w:val="nil"/>
              <w:bottom w:val="nil"/>
              <w:right w:val="nil"/>
            </w:tcBorders>
            <w:shd w:val="clear" w:color="000000" w:fill="FFCCCC"/>
            <w:noWrap/>
            <w:vAlign w:val="bottom"/>
            <w:hideMark/>
          </w:tcPr>
          <w:p w:rsidRPr="00E84445" w:rsidR="00E84445" w:rsidP="00E84445" w:rsidRDefault="00E84445" w14:paraId="33B8248E"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0%</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3A5F217F" w14:textId="77777777">
            <w:pPr>
              <w:spacing w:after="0" w:line="240" w:lineRule="auto"/>
              <w:jc w:val="right"/>
              <w:rPr>
                <w:rFonts w:ascii="Calibri" w:hAnsi="Calibri" w:eastAsia="Times New Roman" w:cs="Times New Roman"/>
                <w:b/>
                <w:color w:val="000000"/>
                <w:sz w:val="18"/>
                <w:szCs w:val="18"/>
                <w:lang w:eastAsia="zh-CN"/>
              </w:rPr>
            </w:pPr>
            <w:r w:rsidRPr="00E84445">
              <w:rPr>
                <w:rFonts w:ascii="Calibri" w:hAnsi="Calibri" w:eastAsia="Times New Roman" w:cs="Times New Roman"/>
                <w:b/>
                <w:color w:val="000000"/>
                <w:sz w:val="18"/>
                <w:szCs w:val="18"/>
                <w:lang w:eastAsia="zh-CN"/>
              </w:rPr>
              <w:t xml:space="preserve">                   3,503,454 </w:t>
            </w:r>
          </w:p>
        </w:tc>
        <w:tc>
          <w:tcPr>
            <w:tcW w:w="777" w:type="dxa"/>
            <w:tcBorders>
              <w:top w:val="single" w:color="4472C4" w:sz="4" w:space="0"/>
              <w:left w:val="nil"/>
              <w:bottom w:val="nil"/>
              <w:right w:val="nil"/>
            </w:tcBorders>
            <w:shd w:val="clear" w:color="000000" w:fill="C6E0B4"/>
            <w:noWrap/>
            <w:vAlign w:val="bottom"/>
            <w:hideMark/>
          </w:tcPr>
          <w:p w:rsidRPr="00E84445" w:rsidR="00E84445" w:rsidP="00E84445" w:rsidRDefault="00E84445" w14:paraId="6E94CAAB"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0%</w:t>
            </w:r>
          </w:p>
        </w:tc>
        <w:tc>
          <w:tcPr>
            <w:tcW w:w="3250" w:type="dxa"/>
            <w:tcBorders>
              <w:top w:val="single" w:color="4472C4" w:sz="4" w:space="0"/>
              <w:left w:val="nil"/>
              <w:bottom w:val="nil"/>
              <w:right w:val="single" w:color="4472C4" w:sz="4" w:space="0"/>
            </w:tcBorders>
            <w:shd w:val="clear" w:color="auto" w:fill="auto"/>
            <w:vAlign w:val="bottom"/>
            <w:hideMark/>
          </w:tcPr>
          <w:p w:rsidRPr="00E84445" w:rsidR="00E84445" w:rsidP="00E84445" w:rsidRDefault="00E84445" w14:paraId="5D2FF18A" w14:textId="77777777">
            <w:pPr>
              <w:spacing w:after="0" w:line="240" w:lineRule="auto"/>
              <w:rPr>
                <w:rFonts w:ascii="Calibri" w:hAnsi="Calibri" w:eastAsia="Times New Roman" w:cs="Times New Roman"/>
                <w:color w:val="000000"/>
                <w:sz w:val="18"/>
                <w:szCs w:val="18"/>
                <w:lang w:val="es-ES" w:eastAsia="zh-CN"/>
              </w:rPr>
            </w:pPr>
            <w:proofErr w:type="spellStart"/>
            <w:r w:rsidRPr="00E84445">
              <w:rPr>
                <w:rFonts w:ascii="Calibri" w:hAnsi="Calibri" w:eastAsia="Times New Roman" w:cs="Times New Roman"/>
                <w:color w:val="000000"/>
                <w:sz w:val="18"/>
                <w:szCs w:val="18"/>
                <w:lang w:val="es-ES" w:eastAsia="zh-CN"/>
              </w:rPr>
              <w:t>Al-</w:t>
            </w:r>
            <w:proofErr w:type="gramStart"/>
            <w:r w:rsidRPr="00E84445">
              <w:rPr>
                <w:rFonts w:ascii="Calibri" w:hAnsi="Calibri" w:eastAsia="Times New Roman" w:cs="Times New Roman"/>
                <w:color w:val="000000"/>
                <w:sz w:val="18"/>
                <w:szCs w:val="18"/>
                <w:lang w:val="es-ES" w:eastAsia="zh-CN"/>
              </w:rPr>
              <w:t>Hasakeh;Ar</w:t>
            </w:r>
            <w:proofErr w:type="gramEnd"/>
            <w:r w:rsidRPr="00E84445">
              <w:rPr>
                <w:rFonts w:ascii="Calibri" w:hAnsi="Calibri" w:eastAsia="Times New Roman" w:cs="Times New Roman"/>
                <w:color w:val="000000"/>
                <w:sz w:val="18"/>
                <w:szCs w:val="18"/>
                <w:lang w:val="es-ES" w:eastAsia="zh-CN"/>
              </w:rPr>
              <w:t>-RaqqaDeir-ez-Zor</w:t>
            </w:r>
            <w:proofErr w:type="spellEnd"/>
            <w:r w:rsidRPr="00E84445">
              <w:rPr>
                <w:rFonts w:ascii="Calibri" w:hAnsi="Calibri" w:eastAsia="Times New Roman" w:cs="Times New Roman"/>
                <w:color w:val="000000"/>
                <w:sz w:val="18"/>
                <w:szCs w:val="18"/>
                <w:lang w:val="es-ES" w:eastAsia="zh-CN"/>
              </w:rPr>
              <w:t>;</w:t>
            </w:r>
          </w:p>
        </w:tc>
      </w:tr>
      <w:tr w:rsidRPr="00E84445" w:rsidR="00E84445" w:rsidTr="00BD79C6" w14:paraId="4F1A46B9" w14:textId="77777777">
        <w:trPr>
          <w:trHeight w:val="227"/>
          <w:jc w:val="center"/>
        </w:trPr>
        <w:tc>
          <w:tcPr>
            <w:tcW w:w="2425" w:type="dxa"/>
            <w:tcBorders>
              <w:top w:val="single" w:color="4472C4" w:sz="4" w:space="0"/>
              <w:left w:val="single" w:color="4472C4" w:sz="4" w:space="0"/>
              <w:bottom w:val="nil"/>
              <w:right w:val="nil"/>
            </w:tcBorders>
            <w:shd w:val="clear" w:color="auto" w:fill="auto"/>
            <w:vAlign w:val="center"/>
            <w:hideMark/>
          </w:tcPr>
          <w:p w:rsidRPr="00E84445" w:rsidR="00E84445" w:rsidP="00E84445" w:rsidRDefault="00E84445" w14:paraId="4F90DF67" w14:textId="77777777">
            <w:pPr>
              <w:spacing w:after="0" w:line="240" w:lineRule="auto"/>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xml:space="preserve">Takaful </w:t>
            </w:r>
            <w:proofErr w:type="spellStart"/>
            <w:r w:rsidRPr="00E84445">
              <w:rPr>
                <w:rFonts w:ascii="Calibri" w:hAnsi="Calibri" w:eastAsia="Times New Roman" w:cs="Times New Roman"/>
                <w:color w:val="000000"/>
                <w:sz w:val="18"/>
                <w:szCs w:val="18"/>
                <w:lang w:eastAsia="zh-CN"/>
              </w:rPr>
              <w:t>Alsham</w:t>
            </w:r>
            <w:proofErr w:type="spellEnd"/>
            <w:r w:rsidRPr="00E84445">
              <w:rPr>
                <w:rFonts w:ascii="Calibri" w:hAnsi="Calibri" w:eastAsia="Times New Roman" w:cs="Times New Roman"/>
                <w:color w:val="000000"/>
                <w:sz w:val="18"/>
                <w:szCs w:val="18"/>
                <w:lang w:eastAsia="zh-CN"/>
              </w:rPr>
              <w:t xml:space="preserve"> Charity Organization</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03D75BB2"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xml:space="preserve">                   1,404,500 </w:t>
            </w:r>
          </w:p>
        </w:tc>
        <w:tc>
          <w:tcPr>
            <w:tcW w:w="995" w:type="dxa"/>
            <w:tcBorders>
              <w:top w:val="single" w:color="4472C4" w:sz="4" w:space="0"/>
              <w:left w:val="nil"/>
              <w:bottom w:val="nil"/>
              <w:right w:val="nil"/>
            </w:tcBorders>
            <w:shd w:val="clear" w:color="000000" w:fill="C6E0B4"/>
            <w:noWrap/>
            <w:vAlign w:val="bottom"/>
            <w:hideMark/>
          </w:tcPr>
          <w:p w:rsidRPr="00E84445" w:rsidR="00E84445" w:rsidP="00E84445" w:rsidRDefault="00E84445" w14:paraId="77E57701"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89%</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39135C2C" w14:textId="77777777">
            <w:pPr>
              <w:spacing w:after="0" w:line="240" w:lineRule="auto"/>
              <w:jc w:val="right"/>
              <w:rPr>
                <w:rFonts w:ascii="Calibri" w:hAnsi="Calibri" w:eastAsia="Times New Roman" w:cs="Times New Roman"/>
                <w:b/>
                <w:color w:val="000000"/>
                <w:sz w:val="18"/>
                <w:szCs w:val="18"/>
                <w:lang w:eastAsia="zh-CN"/>
              </w:rPr>
            </w:pPr>
            <w:r w:rsidRPr="00E84445">
              <w:rPr>
                <w:rFonts w:ascii="Calibri" w:hAnsi="Calibri" w:eastAsia="Times New Roman" w:cs="Times New Roman"/>
                <w:b/>
                <w:color w:val="000000"/>
                <w:sz w:val="18"/>
                <w:szCs w:val="18"/>
                <w:lang w:eastAsia="zh-CN"/>
              </w:rPr>
              <w:t xml:space="preserve">                   2,374,000 </w:t>
            </w:r>
          </w:p>
        </w:tc>
        <w:tc>
          <w:tcPr>
            <w:tcW w:w="777" w:type="dxa"/>
            <w:tcBorders>
              <w:top w:val="single" w:color="4472C4" w:sz="4" w:space="0"/>
              <w:left w:val="nil"/>
              <w:bottom w:val="nil"/>
              <w:right w:val="nil"/>
            </w:tcBorders>
            <w:shd w:val="clear" w:color="000000" w:fill="FFCCCC"/>
            <w:noWrap/>
            <w:vAlign w:val="bottom"/>
            <w:hideMark/>
          </w:tcPr>
          <w:p w:rsidRPr="00E84445" w:rsidR="00E84445" w:rsidP="00E84445" w:rsidRDefault="00E84445" w14:paraId="36C3D2BC"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69%</w:t>
            </w:r>
          </w:p>
        </w:tc>
        <w:tc>
          <w:tcPr>
            <w:tcW w:w="3250" w:type="dxa"/>
            <w:tcBorders>
              <w:top w:val="single" w:color="4472C4" w:sz="4" w:space="0"/>
              <w:left w:val="nil"/>
              <w:bottom w:val="nil"/>
              <w:right w:val="single" w:color="4472C4" w:sz="4" w:space="0"/>
            </w:tcBorders>
            <w:shd w:val="clear" w:color="auto" w:fill="auto"/>
            <w:vAlign w:val="bottom"/>
            <w:hideMark/>
          </w:tcPr>
          <w:p w:rsidRPr="00E84445" w:rsidR="00E84445" w:rsidP="00E84445" w:rsidRDefault="00E84445" w14:paraId="11784C78"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84445">
              <w:rPr>
                <w:rFonts w:ascii="Calibri" w:hAnsi="Calibri" w:eastAsia="Times New Roman" w:cs="Times New Roman"/>
                <w:color w:val="000000"/>
                <w:sz w:val="18"/>
                <w:szCs w:val="18"/>
                <w:lang w:eastAsia="zh-CN"/>
              </w:rPr>
              <w:t>Aleppo;Idleb</w:t>
            </w:r>
            <w:proofErr w:type="spellEnd"/>
            <w:proofErr w:type="gramEnd"/>
          </w:p>
        </w:tc>
      </w:tr>
      <w:tr w:rsidRPr="00E84445" w:rsidR="00E84445" w:rsidTr="00BD79C6" w14:paraId="5DB5B657" w14:textId="77777777">
        <w:trPr>
          <w:trHeight w:val="227"/>
          <w:jc w:val="center"/>
        </w:trPr>
        <w:tc>
          <w:tcPr>
            <w:tcW w:w="2425" w:type="dxa"/>
            <w:tcBorders>
              <w:top w:val="single" w:color="4472C4" w:sz="4" w:space="0"/>
              <w:left w:val="single" w:color="4472C4" w:sz="4" w:space="0"/>
              <w:bottom w:val="nil"/>
              <w:right w:val="nil"/>
            </w:tcBorders>
            <w:shd w:val="clear" w:color="auto" w:fill="auto"/>
            <w:vAlign w:val="center"/>
            <w:hideMark/>
          </w:tcPr>
          <w:p w:rsidRPr="00E84445" w:rsidR="00E84445" w:rsidP="00E84445" w:rsidRDefault="00E84445" w14:paraId="3E180AB6" w14:textId="77777777">
            <w:pPr>
              <w:spacing w:after="0" w:line="240" w:lineRule="auto"/>
              <w:rPr>
                <w:rFonts w:ascii="Calibri" w:hAnsi="Calibri" w:eastAsia="Times New Roman" w:cs="Times New Roman"/>
                <w:color w:val="000000"/>
                <w:sz w:val="18"/>
                <w:szCs w:val="18"/>
                <w:lang w:eastAsia="zh-CN"/>
              </w:rPr>
            </w:pPr>
            <w:proofErr w:type="spellStart"/>
            <w:r w:rsidRPr="00E84445">
              <w:rPr>
                <w:rFonts w:ascii="Calibri" w:hAnsi="Calibri" w:eastAsia="Times New Roman" w:cs="Times New Roman"/>
                <w:color w:val="000000"/>
                <w:sz w:val="18"/>
                <w:szCs w:val="18"/>
                <w:lang w:eastAsia="zh-CN"/>
              </w:rPr>
              <w:t>Saed</w:t>
            </w:r>
            <w:proofErr w:type="spellEnd"/>
            <w:r w:rsidRPr="00E84445">
              <w:rPr>
                <w:rFonts w:ascii="Calibri" w:hAnsi="Calibri" w:eastAsia="Times New Roman" w:cs="Times New Roman"/>
                <w:color w:val="000000"/>
                <w:sz w:val="18"/>
                <w:szCs w:val="18"/>
                <w:lang w:eastAsia="zh-CN"/>
              </w:rPr>
              <w:t xml:space="preserve"> Charity Association</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3B5FCA59"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xml:space="preserve">                   2,360,000 </w:t>
            </w:r>
          </w:p>
        </w:tc>
        <w:tc>
          <w:tcPr>
            <w:tcW w:w="995" w:type="dxa"/>
            <w:tcBorders>
              <w:top w:val="single" w:color="4472C4" w:sz="4" w:space="0"/>
              <w:left w:val="nil"/>
              <w:bottom w:val="nil"/>
              <w:right w:val="nil"/>
            </w:tcBorders>
            <w:shd w:val="clear" w:color="000000" w:fill="FFCCCC"/>
            <w:noWrap/>
            <w:vAlign w:val="bottom"/>
            <w:hideMark/>
          </w:tcPr>
          <w:p w:rsidRPr="00E84445" w:rsidR="00E84445" w:rsidP="00E84445" w:rsidRDefault="00E84445" w14:paraId="64E29730"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19%</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63CF0AFD" w14:textId="77777777">
            <w:pPr>
              <w:spacing w:after="0" w:line="240" w:lineRule="auto"/>
              <w:jc w:val="right"/>
              <w:rPr>
                <w:rFonts w:ascii="Calibri" w:hAnsi="Calibri" w:eastAsia="Times New Roman" w:cs="Times New Roman"/>
                <w:b/>
                <w:color w:val="000000"/>
                <w:sz w:val="18"/>
                <w:szCs w:val="18"/>
                <w:lang w:eastAsia="zh-CN"/>
              </w:rPr>
            </w:pPr>
            <w:r w:rsidRPr="00E84445">
              <w:rPr>
                <w:rFonts w:ascii="Calibri" w:hAnsi="Calibri" w:eastAsia="Times New Roman" w:cs="Times New Roman"/>
                <w:b/>
                <w:color w:val="000000"/>
                <w:sz w:val="18"/>
                <w:szCs w:val="18"/>
                <w:lang w:eastAsia="zh-CN"/>
              </w:rPr>
              <w:t xml:space="preserve">                   1,497,500 </w:t>
            </w:r>
          </w:p>
        </w:tc>
        <w:tc>
          <w:tcPr>
            <w:tcW w:w="777" w:type="dxa"/>
            <w:tcBorders>
              <w:top w:val="single" w:color="4472C4" w:sz="4" w:space="0"/>
              <w:left w:val="nil"/>
              <w:bottom w:val="nil"/>
              <w:right w:val="nil"/>
            </w:tcBorders>
            <w:shd w:val="clear" w:color="000000" w:fill="C6E0B4"/>
            <w:noWrap/>
            <w:vAlign w:val="bottom"/>
            <w:hideMark/>
          </w:tcPr>
          <w:p w:rsidRPr="00E84445" w:rsidR="00E84445" w:rsidP="00E84445" w:rsidRDefault="00E84445" w14:paraId="18E58419"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-37%</w:t>
            </w:r>
          </w:p>
        </w:tc>
        <w:tc>
          <w:tcPr>
            <w:tcW w:w="3250" w:type="dxa"/>
            <w:tcBorders>
              <w:top w:val="single" w:color="4472C4" w:sz="4" w:space="0"/>
              <w:left w:val="nil"/>
              <w:bottom w:val="nil"/>
              <w:right w:val="single" w:color="4472C4" w:sz="4" w:space="0"/>
            </w:tcBorders>
            <w:shd w:val="clear" w:color="auto" w:fill="auto"/>
            <w:vAlign w:val="bottom"/>
            <w:hideMark/>
          </w:tcPr>
          <w:p w:rsidRPr="00E84445" w:rsidR="00E84445" w:rsidP="00E84445" w:rsidRDefault="00E84445" w14:paraId="3809740C" w14:textId="77777777">
            <w:pPr>
              <w:spacing w:after="0" w:line="240" w:lineRule="auto"/>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Idleb</w:t>
            </w:r>
          </w:p>
        </w:tc>
      </w:tr>
      <w:tr w:rsidRPr="00E84445" w:rsidR="00E84445" w:rsidTr="00BD79C6" w14:paraId="34857FF8" w14:textId="77777777">
        <w:trPr>
          <w:trHeight w:val="227"/>
          <w:jc w:val="center"/>
        </w:trPr>
        <w:tc>
          <w:tcPr>
            <w:tcW w:w="2425" w:type="dxa"/>
            <w:tcBorders>
              <w:top w:val="single" w:color="4472C4" w:sz="4" w:space="0"/>
              <w:left w:val="single" w:color="4472C4" w:sz="4" w:space="0"/>
              <w:bottom w:val="nil"/>
              <w:right w:val="nil"/>
            </w:tcBorders>
            <w:shd w:val="clear" w:color="auto" w:fill="auto"/>
            <w:vAlign w:val="center"/>
            <w:hideMark/>
          </w:tcPr>
          <w:p w:rsidRPr="00E84445" w:rsidR="00E84445" w:rsidP="00E84445" w:rsidRDefault="00E84445" w14:paraId="1F211A79" w14:textId="77777777">
            <w:pPr>
              <w:spacing w:after="0" w:line="240" w:lineRule="auto"/>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WATAN Foundation</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540158E4"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xml:space="preserve">                   2,510,000 </w:t>
            </w:r>
          </w:p>
        </w:tc>
        <w:tc>
          <w:tcPr>
            <w:tcW w:w="995" w:type="dxa"/>
            <w:tcBorders>
              <w:top w:val="single" w:color="4472C4" w:sz="4" w:space="0"/>
              <w:left w:val="nil"/>
              <w:bottom w:val="nil"/>
              <w:right w:val="nil"/>
            </w:tcBorders>
            <w:shd w:val="clear" w:color="000000" w:fill="FFCCCC"/>
            <w:noWrap/>
            <w:vAlign w:val="bottom"/>
            <w:hideMark/>
          </w:tcPr>
          <w:p w:rsidRPr="00E84445" w:rsidR="00E84445" w:rsidP="00E84445" w:rsidRDefault="00E84445" w14:paraId="52BC00DD"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0%</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1179F68E" w14:textId="77777777">
            <w:pPr>
              <w:spacing w:after="0" w:line="240" w:lineRule="auto"/>
              <w:jc w:val="right"/>
              <w:rPr>
                <w:rFonts w:ascii="Calibri" w:hAnsi="Calibri" w:eastAsia="Times New Roman" w:cs="Times New Roman"/>
                <w:b/>
                <w:color w:val="000000"/>
                <w:sz w:val="18"/>
                <w:szCs w:val="18"/>
                <w:lang w:eastAsia="zh-CN"/>
              </w:rPr>
            </w:pPr>
            <w:r w:rsidRPr="00E84445">
              <w:rPr>
                <w:rFonts w:ascii="Calibri" w:hAnsi="Calibri" w:eastAsia="Times New Roman" w:cs="Times New Roman"/>
                <w:b/>
                <w:color w:val="000000"/>
                <w:sz w:val="18"/>
                <w:szCs w:val="18"/>
                <w:lang w:eastAsia="zh-CN"/>
              </w:rPr>
              <w:t xml:space="preserve">                   1,080,000 </w:t>
            </w:r>
          </w:p>
        </w:tc>
        <w:tc>
          <w:tcPr>
            <w:tcW w:w="777" w:type="dxa"/>
            <w:tcBorders>
              <w:top w:val="single" w:color="4472C4" w:sz="4" w:space="0"/>
              <w:left w:val="nil"/>
              <w:bottom w:val="nil"/>
              <w:right w:val="nil"/>
            </w:tcBorders>
            <w:shd w:val="clear" w:color="000000" w:fill="C6E0B4"/>
            <w:noWrap/>
            <w:vAlign w:val="bottom"/>
            <w:hideMark/>
          </w:tcPr>
          <w:p w:rsidRPr="00E84445" w:rsidR="00E84445" w:rsidP="00E84445" w:rsidRDefault="00E84445" w14:paraId="0EF45804"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-57%</w:t>
            </w:r>
          </w:p>
        </w:tc>
        <w:tc>
          <w:tcPr>
            <w:tcW w:w="3250" w:type="dxa"/>
            <w:tcBorders>
              <w:top w:val="single" w:color="4472C4" w:sz="4" w:space="0"/>
              <w:left w:val="nil"/>
              <w:bottom w:val="nil"/>
              <w:right w:val="single" w:color="4472C4" w:sz="4" w:space="0"/>
            </w:tcBorders>
            <w:shd w:val="clear" w:color="auto" w:fill="auto"/>
            <w:vAlign w:val="bottom"/>
            <w:hideMark/>
          </w:tcPr>
          <w:p w:rsidRPr="00E84445" w:rsidR="00E84445" w:rsidP="00E84445" w:rsidRDefault="00E84445" w14:paraId="4EE14E4B"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84445">
              <w:rPr>
                <w:rFonts w:ascii="Calibri" w:hAnsi="Calibri" w:eastAsia="Times New Roman" w:cs="Times New Roman"/>
                <w:color w:val="000000"/>
                <w:sz w:val="18"/>
                <w:szCs w:val="18"/>
                <w:lang w:eastAsia="zh-CN"/>
              </w:rPr>
              <w:t>Aleppo;Idleb</w:t>
            </w:r>
            <w:proofErr w:type="spellEnd"/>
            <w:proofErr w:type="gramEnd"/>
          </w:p>
        </w:tc>
      </w:tr>
      <w:tr w:rsidRPr="00E84445" w:rsidR="00E84445" w:rsidTr="00BD79C6" w14:paraId="45E26222" w14:textId="77777777">
        <w:trPr>
          <w:trHeight w:val="379"/>
          <w:jc w:val="center"/>
        </w:trPr>
        <w:tc>
          <w:tcPr>
            <w:tcW w:w="2425" w:type="dxa"/>
            <w:tcBorders>
              <w:top w:val="single" w:color="4472C4" w:sz="4" w:space="0"/>
              <w:left w:val="single" w:color="4472C4" w:sz="4" w:space="0"/>
              <w:bottom w:val="nil"/>
              <w:right w:val="nil"/>
            </w:tcBorders>
            <w:shd w:val="clear" w:color="auto" w:fill="auto"/>
            <w:vAlign w:val="center"/>
            <w:hideMark/>
          </w:tcPr>
          <w:p w:rsidRPr="00E84445" w:rsidR="00E84445" w:rsidP="00E84445" w:rsidRDefault="00E84445" w14:paraId="008B1614" w14:textId="77777777">
            <w:pPr>
              <w:spacing w:after="0" w:line="240" w:lineRule="auto"/>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Agency for Technical Cooperation and Development</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72DAAD97"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xml:space="preserve">                   1,044,254 </w:t>
            </w:r>
          </w:p>
        </w:tc>
        <w:tc>
          <w:tcPr>
            <w:tcW w:w="995" w:type="dxa"/>
            <w:tcBorders>
              <w:top w:val="single" w:color="4472C4" w:sz="4" w:space="0"/>
              <w:left w:val="nil"/>
              <w:bottom w:val="nil"/>
              <w:right w:val="nil"/>
            </w:tcBorders>
            <w:shd w:val="clear" w:color="000000" w:fill="FFCCCC"/>
            <w:noWrap/>
            <w:vAlign w:val="bottom"/>
            <w:hideMark/>
          </w:tcPr>
          <w:p w:rsidRPr="00E84445" w:rsidR="00E84445" w:rsidP="00E84445" w:rsidRDefault="00E84445" w14:paraId="4A428021"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0%</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743A442F" w14:textId="77777777">
            <w:pPr>
              <w:spacing w:after="0" w:line="240" w:lineRule="auto"/>
              <w:jc w:val="right"/>
              <w:rPr>
                <w:rFonts w:ascii="Calibri" w:hAnsi="Calibri" w:eastAsia="Times New Roman" w:cs="Times New Roman"/>
                <w:b/>
                <w:color w:val="000000"/>
                <w:sz w:val="18"/>
                <w:szCs w:val="18"/>
                <w:lang w:eastAsia="zh-CN"/>
              </w:rPr>
            </w:pPr>
            <w:r w:rsidRPr="00E84445">
              <w:rPr>
                <w:rFonts w:ascii="Calibri" w:hAnsi="Calibri" w:eastAsia="Times New Roman" w:cs="Times New Roman"/>
                <w:b/>
                <w:color w:val="000000"/>
                <w:sz w:val="18"/>
                <w:szCs w:val="18"/>
                <w:lang w:eastAsia="zh-CN"/>
              </w:rPr>
              <w:t xml:space="preserve">                   1,030,854 </w:t>
            </w:r>
          </w:p>
        </w:tc>
        <w:tc>
          <w:tcPr>
            <w:tcW w:w="777" w:type="dxa"/>
            <w:tcBorders>
              <w:top w:val="single" w:color="4472C4" w:sz="4" w:space="0"/>
              <w:left w:val="nil"/>
              <w:bottom w:val="nil"/>
              <w:right w:val="nil"/>
            </w:tcBorders>
            <w:shd w:val="clear" w:color="000000" w:fill="C6E0B4"/>
            <w:noWrap/>
            <w:vAlign w:val="bottom"/>
            <w:hideMark/>
          </w:tcPr>
          <w:p w:rsidRPr="00E84445" w:rsidR="00E84445" w:rsidP="00E84445" w:rsidRDefault="00E84445" w14:paraId="7A56A2E0"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-1%</w:t>
            </w:r>
          </w:p>
        </w:tc>
        <w:tc>
          <w:tcPr>
            <w:tcW w:w="3250" w:type="dxa"/>
            <w:tcBorders>
              <w:top w:val="single" w:color="4472C4" w:sz="4" w:space="0"/>
              <w:left w:val="nil"/>
              <w:bottom w:val="nil"/>
              <w:right w:val="single" w:color="4472C4" w:sz="4" w:space="0"/>
            </w:tcBorders>
            <w:shd w:val="clear" w:color="auto" w:fill="auto"/>
            <w:vAlign w:val="bottom"/>
            <w:hideMark/>
          </w:tcPr>
          <w:p w:rsidRPr="00E84445" w:rsidR="00E84445" w:rsidP="00E84445" w:rsidRDefault="00E84445" w14:paraId="68B3697A"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84445">
              <w:rPr>
                <w:rFonts w:ascii="Calibri" w:hAnsi="Calibri" w:eastAsia="Times New Roman" w:cs="Times New Roman"/>
                <w:color w:val="000000"/>
                <w:sz w:val="18"/>
                <w:szCs w:val="18"/>
                <w:lang w:eastAsia="zh-CN"/>
              </w:rPr>
              <w:t>Aleppo;Al</w:t>
            </w:r>
            <w:proofErr w:type="gramEnd"/>
            <w:r w:rsidRPr="00E84445">
              <w:rPr>
                <w:rFonts w:ascii="Calibri" w:hAnsi="Calibri" w:eastAsia="Times New Roman" w:cs="Times New Roman"/>
                <w:color w:val="000000"/>
                <w:sz w:val="18"/>
                <w:szCs w:val="18"/>
                <w:lang w:eastAsia="zh-CN"/>
              </w:rPr>
              <w:t>-Hasakeh;Ar-Raqqa</w:t>
            </w:r>
            <w:proofErr w:type="spellEnd"/>
            <w:r w:rsidRPr="00E84445">
              <w:rPr>
                <w:rFonts w:ascii="Calibri" w:hAnsi="Calibri" w:eastAsia="Times New Roman" w:cs="Times New Roman"/>
                <w:color w:val="000000"/>
                <w:sz w:val="18"/>
                <w:szCs w:val="18"/>
                <w:lang w:eastAsia="zh-CN"/>
              </w:rPr>
              <w:t>;</w:t>
            </w:r>
          </w:p>
        </w:tc>
      </w:tr>
      <w:tr w:rsidRPr="00E84445" w:rsidR="00E84445" w:rsidTr="00BD79C6" w14:paraId="1D00D717" w14:textId="77777777">
        <w:trPr>
          <w:trHeight w:val="379"/>
          <w:jc w:val="center"/>
        </w:trPr>
        <w:tc>
          <w:tcPr>
            <w:tcW w:w="2425" w:type="dxa"/>
            <w:tcBorders>
              <w:top w:val="single" w:color="4472C4" w:sz="4" w:space="0"/>
              <w:left w:val="single" w:color="4472C4" w:sz="4" w:space="0"/>
              <w:bottom w:val="nil"/>
              <w:right w:val="nil"/>
            </w:tcBorders>
            <w:shd w:val="clear" w:color="auto" w:fill="auto"/>
            <w:vAlign w:val="center"/>
            <w:hideMark/>
          </w:tcPr>
          <w:p w:rsidRPr="00E84445" w:rsidR="00E84445" w:rsidP="00E84445" w:rsidRDefault="00E84445" w14:paraId="18DB9303" w14:textId="77777777">
            <w:pPr>
              <w:spacing w:after="0" w:line="240" w:lineRule="auto"/>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United Nations High Commissioner for Refugees</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3AA399B4"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xml:space="preserve">                      365,816 </w:t>
            </w:r>
          </w:p>
        </w:tc>
        <w:tc>
          <w:tcPr>
            <w:tcW w:w="995" w:type="dxa"/>
            <w:tcBorders>
              <w:top w:val="single" w:color="4472C4" w:sz="4" w:space="0"/>
              <w:left w:val="nil"/>
              <w:bottom w:val="nil"/>
              <w:right w:val="nil"/>
            </w:tcBorders>
            <w:shd w:val="clear" w:color="000000" w:fill="C6E0B4"/>
            <w:noWrap/>
            <w:vAlign w:val="bottom"/>
            <w:hideMark/>
          </w:tcPr>
          <w:p w:rsidRPr="00E84445" w:rsidR="00E84445" w:rsidP="00E84445" w:rsidRDefault="00E84445" w14:paraId="314C7066"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291%</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5C80C302" w14:textId="77777777">
            <w:pPr>
              <w:spacing w:after="0" w:line="240" w:lineRule="auto"/>
              <w:jc w:val="right"/>
              <w:rPr>
                <w:rFonts w:ascii="Calibri" w:hAnsi="Calibri" w:eastAsia="Times New Roman" w:cs="Times New Roman"/>
                <w:b/>
                <w:color w:val="000000"/>
                <w:sz w:val="18"/>
                <w:szCs w:val="18"/>
                <w:lang w:eastAsia="zh-CN"/>
              </w:rPr>
            </w:pPr>
            <w:r w:rsidRPr="00E84445">
              <w:rPr>
                <w:rFonts w:ascii="Calibri" w:hAnsi="Calibri" w:eastAsia="Times New Roman" w:cs="Times New Roman"/>
                <w:b/>
                <w:color w:val="000000"/>
                <w:sz w:val="18"/>
                <w:szCs w:val="18"/>
                <w:lang w:eastAsia="zh-CN"/>
              </w:rPr>
              <w:t xml:space="preserve">                      925,598 </w:t>
            </w:r>
          </w:p>
        </w:tc>
        <w:tc>
          <w:tcPr>
            <w:tcW w:w="777" w:type="dxa"/>
            <w:tcBorders>
              <w:top w:val="single" w:color="4472C4" w:sz="4" w:space="0"/>
              <w:left w:val="nil"/>
              <w:bottom w:val="nil"/>
              <w:right w:val="nil"/>
            </w:tcBorders>
            <w:shd w:val="clear" w:color="000000" w:fill="FFCCCC"/>
            <w:noWrap/>
            <w:vAlign w:val="bottom"/>
            <w:hideMark/>
          </w:tcPr>
          <w:p w:rsidRPr="00E84445" w:rsidR="00E84445" w:rsidP="00E84445" w:rsidRDefault="00E84445" w14:paraId="52C60848"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153%</w:t>
            </w:r>
          </w:p>
        </w:tc>
        <w:tc>
          <w:tcPr>
            <w:tcW w:w="3250" w:type="dxa"/>
            <w:tcBorders>
              <w:top w:val="single" w:color="4472C4" w:sz="4" w:space="0"/>
              <w:left w:val="nil"/>
              <w:bottom w:val="nil"/>
              <w:right w:val="single" w:color="4472C4" w:sz="4" w:space="0"/>
            </w:tcBorders>
            <w:shd w:val="clear" w:color="auto" w:fill="auto"/>
            <w:vAlign w:val="bottom"/>
            <w:hideMark/>
          </w:tcPr>
          <w:p w:rsidRPr="00E84445" w:rsidR="00E84445" w:rsidP="00E84445" w:rsidRDefault="00E84445" w14:paraId="123882DB"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84445">
              <w:rPr>
                <w:rFonts w:ascii="Calibri" w:hAnsi="Calibri" w:eastAsia="Times New Roman" w:cs="Times New Roman"/>
                <w:color w:val="000000"/>
                <w:sz w:val="18"/>
                <w:szCs w:val="18"/>
                <w:lang w:eastAsia="zh-CN"/>
              </w:rPr>
              <w:t>Aleppo;HamaIdleb</w:t>
            </w:r>
            <w:proofErr w:type="spellEnd"/>
            <w:proofErr w:type="gramEnd"/>
          </w:p>
        </w:tc>
      </w:tr>
      <w:tr w:rsidRPr="00E84445" w:rsidR="00E84445" w:rsidTr="00BD79C6" w14:paraId="0A1B7477" w14:textId="77777777">
        <w:trPr>
          <w:trHeight w:val="379"/>
          <w:jc w:val="center"/>
        </w:trPr>
        <w:tc>
          <w:tcPr>
            <w:tcW w:w="2425" w:type="dxa"/>
            <w:tcBorders>
              <w:top w:val="single" w:color="4472C4" w:sz="4" w:space="0"/>
              <w:left w:val="single" w:color="4472C4" w:sz="4" w:space="0"/>
              <w:bottom w:val="nil"/>
              <w:right w:val="nil"/>
            </w:tcBorders>
            <w:shd w:val="clear" w:color="auto" w:fill="auto"/>
            <w:vAlign w:val="center"/>
            <w:hideMark/>
          </w:tcPr>
          <w:p w:rsidRPr="00E84445" w:rsidR="00E84445" w:rsidP="00E84445" w:rsidRDefault="00E84445" w14:paraId="4448446E" w14:textId="77777777">
            <w:pPr>
              <w:spacing w:after="0" w:line="240" w:lineRule="auto"/>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Syrian Engineers for Construction and Development</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2375F6D8"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xml:space="preserve">                   2,150,000 </w:t>
            </w:r>
          </w:p>
        </w:tc>
        <w:tc>
          <w:tcPr>
            <w:tcW w:w="995" w:type="dxa"/>
            <w:tcBorders>
              <w:top w:val="single" w:color="4472C4" w:sz="4" w:space="0"/>
              <w:left w:val="nil"/>
              <w:bottom w:val="nil"/>
              <w:right w:val="nil"/>
            </w:tcBorders>
            <w:shd w:val="clear" w:color="000000" w:fill="FFCCCC"/>
            <w:noWrap/>
            <w:vAlign w:val="bottom"/>
            <w:hideMark/>
          </w:tcPr>
          <w:p w:rsidRPr="00E84445" w:rsidR="00E84445" w:rsidP="00E84445" w:rsidRDefault="00E84445" w14:paraId="7F8B8FDC"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0%</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281AF17F" w14:textId="77777777">
            <w:pPr>
              <w:spacing w:after="0" w:line="240" w:lineRule="auto"/>
              <w:jc w:val="right"/>
              <w:rPr>
                <w:rFonts w:ascii="Calibri" w:hAnsi="Calibri" w:eastAsia="Times New Roman" w:cs="Times New Roman"/>
                <w:b/>
                <w:color w:val="000000"/>
                <w:sz w:val="18"/>
                <w:szCs w:val="18"/>
                <w:lang w:eastAsia="zh-CN"/>
              </w:rPr>
            </w:pPr>
            <w:r w:rsidRPr="00E84445">
              <w:rPr>
                <w:rFonts w:ascii="Calibri" w:hAnsi="Calibri" w:eastAsia="Times New Roman" w:cs="Times New Roman"/>
                <w:b/>
                <w:color w:val="000000"/>
                <w:sz w:val="18"/>
                <w:szCs w:val="18"/>
                <w:lang w:eastAsia="zh-CN"/>
              </w:rPr>
              <w:t xml:space="preserve">                      861,062 </w:t>
            </w:r>
          </w:p>
        </w:tc>
        <w:tc>
          <w:tcPr>
            <w:tcW w:w="777" w:type="dxa"/>
            <w:tcBorders>
              <w:top w:val="single" w:color="4472C4" w:sz="4" w:space="0"/>
              <w:left w:val="nil"/>
              <w:bottom w:val="nil"/>
              <w:right w:val="nil"/>
            </w:tcBorders>
            <w:shd w:val="clear" w:color="000000" w:fill="C6E0B4"/>
            <w:noWrap/>
            <w:vAlign w:val="bottom"/>
            <w:hideMark/>
          </w:tcPr>
          <w:p w:rsidRPr="00E84445" w:rsidR="00E84445" w:rsidP="00E84445" w:rsidRDefault="00E84445" w14:paraId="2CAF514E"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-60%</w:t>
            </w:r>
          </w:p>
        </w:tc>
        <w:tc>
          <w:tcPr>
            <w:tcW w:w="3250" w:type="dxa"/>
            <w:tcBorders>
              <w:top w:val="single" w:color="4472C4" w:sz="4" w:space="0"/>
              <w:left w:val="nil"/>
              <w:bottom w:val="nil"/>
              <w:right w:val="single" w:color="4472C4" w:sz="4" w:space="0"/>
            </w:tcBorders>
            <w:shd w:val="clear" w:color="auto" w:fill="auto"/>
            <w:vAlign w:val="bottom"/>
            <w:hideMark/>
          </w:tcPr>
          <w:p w:rsidRPr="00E84445" w:rsidR="00E84445" w:rsidP="00E84445" w:rsidRDefault="00E84445" w14:paraId="5CCEF1B4"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84445">
              <w:rPr>
                <w:rFonts w:ascii="Calibri" w:hAnsi="Calibri" w:eastAsia="Times New Roman" w:cs="Times New Roman"/>
                <w:color w:val="000000"/>
                <w:sz w:val="18"/>
                <w:szCs w:val="18"/>
                <w:lang w:eastAsia="zh-CN"/>
              </w:rPr>
              <w:t>Aleppo;Idleb</w:t>
            </w:r>
            <w:proofErr w:type="spellEnd"/>
            <w:proofErr w:type="gramEnd"/>
          </w:p>
        </w:tc>
      </w:tr>
      <w:tr w:rsidRPr="00E84445" w:rsidR="00E84445" w:rsidTr="00BD79C6" w14:paraId="4A301260" w14:textId="77777777">
        <w:trPr>
          <w:trHeight w:val="227"/>
          <w:jc w:val="center"/>
        </w:trPr>
        <w:tc>
          <w:tcPr>
            <w:tcW w:w="2425" w:type="dxa"/>
            <w:tcBorders>
              <w:top w:val="single" w:color="4472C4" w:sz="4" w:space="0"/>
              <w:left w:val="single" w:color="4472C4" w:sz="4" w:space="0"/>
              <w:bottom w:val="nil"/>
              <w:right w:val="nil"/>
            </w:tcBorders>
            <w:shd w:val="clear" w:color="auto" w:fill="auto"/>
            <w:vAlign w:val="center"/>
            <w:hideMark/>
          </w:tcPr>
          <w:p w:rsidRPr="00E84445" w:rsidR="00E84445" w:rsidP="00E84445" w:rsidRDefault="00E84445" w14:paraId="5A4FA630" w14:textId="77777777">
            <w:pPr>
              <w:spacing w:after="0" w:line="240" w:lineRule="auto"/>
              <w:rPr>
                <w:rFonts w:ascii="Calibri" w:hAnsi="Calibri" w:eastAsia="Times New Roman" w:cs="Times New Roman"/>
                <w:color w:val="000000"/>
                <w:sz w:val="18"/>
                <w:szCs w:val="18"/>
                <w:lang w:eastAsia="zh-CN"/>
              </w:rPr>
            </w:pPr>
            <w:proofErr w:type="spellStart"/>
            <w:r w:rsidRPr="00E84445">
              <w:rPr>
                <w:rFonts w:ascii="Calibri" w:hAnsi="Calibri" w:eastAsia="Times New Roman" w:cs="Times New Roman"/>
                <w:color w:val="000000"/>
                <w:sz w:val="18"/>
                <w:szCs w:val="18"/>
                <w:lang w:eastAsia="zh-CN"/>
              </w:rPr>
              <w:t>Nasaem</w:t>
            </w:r>
            <w:proofErr w:type="spellEnd"/>
            <w:r w:rsidRPr="00E84445">
              <w:rPr>
                <w:rFonts w:ascii="Calibri" w:hAnsi="Calibri" w:eastAsia="Times New Roman" w:cs="Times New Roman"/>
                <w:color w:val="000000"/>
                <w:sz w:val="18"/>
                <w:szCs w:val="18"/>
                <w:lang w:eastAsia="zh-CN"/>
              </w:rPr>
              <w:t xml:space="preserve"> </w:t>
            </w:r>
            <w:proofErr w:type="spellStart"/>
            <w:r w:rsidRPr="00E84445">
              <w:rPr>
                <w:rFonts w:ascii="Calibri" w:hAnsi="Calibri" w:eastAsia="Times New Roman" w:cs="Times New Roman"/>
                <w:color w:val="000000"/>
                <w:sz w:val="18"/>
                <w:szCs w:val="18"/>
                <w:lang w:eastAsia="zh-CN"/>
              </w:rPr>
              <w:t>Khair</w:t>
            </w:r>
            <w:proofErr w:type="spellEnd"/>
            <w:r w:rsidRPr="00E84445">
              <w:rPr>
                <w:rFonts w:ascii="Calibri" w:hAnsi="Calibri" w:eastAsia="Times New Roman" w:cs="Times New Roman"/>
                <w:color w:val="000000"/>
                <w:sz w:val="18"/>
                <w:szCs w:val="18"/>
                <w:lang w:eastAsia="zh-CN"/>
              </w:rPr>
              <w:t xml:space="preserve"> Organization</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3CA758AD"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xml:space="preserve">                      585,500 </w:t>
            </w:r>
          </w:p>
        </w:tc>
        <w:tc>
          <w:tcPr>
            <w:tcW w:w="995" w:type="dxa"/>
            <w:tcBorders>
              <w:top w:val="single" w:color="4472C4" w:sz="4" w:space="0"/>
              <w:left w:val="nil"/>
              <w:bottom w:val="nil"/>
              <w:right w:val="nil"/>
            </w:tcBorders>
            <w:shd w:val="clear" w:color="000000" w:fill="FFCCCC"/>
            <w:noWrap/>
            <w:vAlign w:val="bottom"/>
            <w:hideMark/>
          </w:tcPr>
          <w:p w:rsidRPr="00E84445" w:rsidR="00E84445" w:rsidP="00E84445" w:rsidRDefault="00E84445" w14:paraId="7B01CB7F"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0%</w:t>
            </w:r>
          </w:p>
        </w:tc>
        <w:tc>
          <w:tcPr>
            <w:tcW w:w="1053" w:type="dxa"/>
            <w:tcBorders>
              <w:top w:val="single" w:color="4472C4" w:sz="4" w:space="0"/>
              <w:left w:val="nil"/>
              <w:bottom w:val="nil"/>
              <w:right w:val="nil"/>
            </w:tcBorders>
            <w:shd w:val="clear" w:color="auto" w:fill="auto"/>
            <w:noWrap/>
            <w:vAlign w:val="bottom"/>
            <w:hideMark/>
          </w:tcPr>
          <w:p w:rsidRPr="00E84445" w:rsidR="00E84445" w:rsidP="00E84445" w:rsidRDefault="00E84445" w14:paraId="0EE8C17F" w14:textId="77777777">
            <w:pPr>
              <w:spacing w:after="0" w:line="240" w:lineRule="auto"/>
              <w:jc w:val="right"/>
              <w:rPr>
                <w:rFonts w:ascii="Calibri" w:hAnsi="Calibri" w:eastAsia="Times New Roman" w:cs="Times New Roman"/>
                <w:b/>
                <w:color w:val="000000"/>
                <w:sz w:val="18"/>
                <w:szCs w:val="18"/>
                <w:lang w:eastAsia="zh-CN"/>
              </w:rPr>
            </w:pPr>
            <w:r w:rsidRPr="00E84445">
              <w:rPr>
                <w:rFonts w:ascii="Calibri" w:hAnsi="Calibri" w:eastAsia="Times New Roman" w:cs="Times New Roman"/>
                <w:b/>
                <w:color w:val="000000"/>
                <w:sz w:val="18"/>
                <w:szCs w:val="18"/>
                <w:lang w:eastAsia="zh-CN"/>
              </w:rPr>
              <w:t xml:space="preserve">                      845,500 </w:t>
            </w:r>
          </w:p>
        </w:tc>
        <w:tc>
          <w:tcPr>
            <w:tcW w:w="777" w:type="dxa"/>
            <w:tcBorders>
              <w:top w:val="single" w:color="4472C4" w:sz="4" w:space="0"/>
              <w:left w:val="nil"/>
              <w:bottom w:val="nil"/>
              <w:right w:val="nil"/>
            </w:tcBorders>
            <w:shd w:val="clear" w:color="000000" w:fill="FFF2CC"/>
            <w:noWrap/>
            <w:vAlign w:val="bottom"/>
            <w:hideMark/>
          </w:tcPr>
          <w:p w:rsidRPr="00E84445" w:rsidR="00E84445" w:rsidP="00E84445" w:rsidRDefault="00E84445" w14:paraId="1253F071"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44%</w:t>
            </w:r>
          </w:p>
        </w:tc>
        <w:tc>
          <w:tcPr>
            <w:tcW w:w="3250" w:type="dxa"/>
            <w:tcBorders>
              <w:top w:val="single" w:color="4472C4" w:sz="4" w:space="0"/>
              <w:left w:val="nil"/>
              <w:bottom w:val="nil"/>
              <w:right w:val="single" w:color="4472C4" w:sz="4" w:space="0"/>
            </w:tcBorders>
            <w:shd w:val="clear" w:color="auto" w:fill="auto"/>
            <w:vAlign w:val="bottom"/>
            <w:hideMark/>
          </w:tcPr>
          <w:p w:rsidRPr="00E84445" w:rsidR="00E84445" w:rsidP="00E84445" w:rsidRDefault="00E84445" w14:paraId="393BE795" w14:textId="77777777">
            <w:pPr>
              <w:spacing w:after="0" w:line="240" w:lineRule="auto"/>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Idleb</w:t>
            </w:r>
          </w:p>
        </w:tc>
      </w:tr>
      <w:tr w:rsidRPr="00E84445" w:rsidR="00E84445" w:rsidTr="00BD79C6" w14:paraId="1C79BA8F" w14:textId="77777777">
        <w:trPr>
          <w:trHeight w:val="379"/>
          <w:jc w:val="center"/>
        </w:trPr>
        <w:tc>
          <w:tcPr>
            <w:tcW w:w="2425" w:type="dxa"/>
            <w:tcBorders>
              <w:top w:val="single" w:color="4472C4" w:sz="4" w:space="0"/>
              <w:left w:val="single" w:color="4472C4" w:sz="4" w:space="0"/>
              <w:bottom w:val="single" w:color="4472C4" w:sz="4" w:space="0"/>
              <w:right w:val="nil"/>
            </w:tcBorders>
            <w:shd w:val="clear" w:color="auto" w:fill="auto"/>
            <w:vAlign w:val="center"/>
            <w:hideMark/>
          </w:tcPr>
          <w:p w:rsidRPr="00E84445" w:rsidR="00E84445" w:rsidP="00E84445" w:rsidRDefault="00E84445" w14:paraId="313DBF26" w14:textId="77777777">
            <w:pPr>
              <w:spacing w:after="0" w:line="240" w:lineRule="auto"/>
              <w:rPr>
                <w:rFonts w:ascii="Calibri" w:hAnsi="Calibri" w:eastAsia="Times New Roman" w:cs="Times New Roman"/>
                <w:color w:val="000000"/>
                <w:sz w:val="18"/>
                <w:szCs w:val="18"/>
                <w:lang w:eastAsia="zh-CN"/>
              </w:rPr>
            </w:pPr>
            <w:proofErr w:type="spellStart"/>
            <w:r w:rsidRPr="00E84445">
              <w:rPr>
                <w:rFonts w:ascii="Calibri" w:hAnsi="Calibri" w:eastAsia="Times New Roman" w:cs="Times New Roman"/>
                <w:color w:val="000000"/>
                <w:sz w:val="18"/>
                <w:szCs w:val="18"/>
                <w:lang w:eastAsia="zh-CN"/>
              </w:rPr>
              <w:t>Maram</w:t>
            </w:r>
            <w:proofErr w:type="spellEnd"/>
            <w:r w:rsidRPr="00E84445">
              <w:rPr>
                <w:rFonts w:ascii="Calibri" w:hAnsi="Calibri" w:eastAsia="Times New Roman" w:cs="Times New Roman"/>
                <w:color w:val="000000"/>
                <w:sz w:val="18"/>
                <w:szCs w:val="18"/>
                <w:lang w:eastAsia="zh-CN"/>
              </w:rPr>
              <w:t xml:space="preserve"> Foundation for Relief and Development</w:t>
            </w:r>
          </w:p>
        </w:tc>
        <w:tc>
          <w:tcPr>
            <w:tcW w:w="1053" w:type="dxa"/>
            <w:tcBorders>
              <w:top w:val="single" w:color="4472C4" w:sz="4" w:space="0"/>
              <w:left w:val="nil"/>
              <w:bottom w:val="single" w:color="4472C4" w:sz="4" w:space="0"/>
              <w:right w:val="nil"/>
            </w:tcBorders>
            <w:shd w:val="clear" w:color="auto" w:fill="auto"/>
            <w:noWrap/>
            <w:vAlign w:val="bottom"/>
            <w:hideMark/>
          </w:tcPr>
          <w:p w:rsidRPr="00E84445" w:rsidR="00E84445" w:rsidP="00E84445" w:rsidRDefault="00E84445" w14:paraId="28DAD937"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 xml:space="preserve">                   1,285,356 </w:t>
            </w:r>
          </w:p>
        </w:tc>
        <w:tc>
          <w:tcPr>
            <w:tcW w:w="995" w:type="dxa"/>
            <w:tcBorders>
              <w:top w:val="single" w:color="4472C4" w:sz="4" w:space="0"/>
              <w:left w:val="nil"/>
              <w:bottom w:val="single" w:color="4472C4" w:sz="4" w:space="0"/>
              <w:right w:val="nil"/>
            </w:tcBorders>
            <w:shd w:val="clear" w:color="000000" w:fill="FFCCCC"/>
            <w:noWrap/>
            <w:vAlign w:val="bottom"/>
            <w:hideMark/>
          </w:tcPr>
          <w:p w:rsidRPr="00E84445" w:rsidR="00E84445" w:rsidP="00E84445" w:rsidRDefault="00E84445" w14:paraId="6ECBE699"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0%</w:t>
            </w:r>
          </w:p>
        </w:tc>
        <w:tc>
          <w:tcPr>
            <w:tcW w:w="1053" w:type="dxa"/>
            <w:tcBorders>
              <w:top w:val="single" w:color="4472C4" w:sz="4" w:space="0"/>
              <w:left w:val="nil"/>
              <w:bottom w:val="single" w:color="4472C4" w:sz="4" w:space="0"/>
              <w:right w:val="nil"/>
            </w:tcBorders>
            <w:shd w:val="clear" w:color="auto" w:fill="auto"/>
            <w:noWrap/>
            <w:vAlign w:val="bottom"/>
            <w:hideMark/>
          </w:tcPr>
          <w:p w:rsidRPr="00E84445" w:rsidR="00E84445" w:rsidP="00E84445" w:rsidRDefault="00E84445" w14:paraId="1F5A70B3" w14:textId="77777777">
            <w:pPr>
              <w:spacing w:after="0" w:line="240" w:lineRule="auto"/>
              <w:jc w:val="right"/>
              <w:rPr>
                <w:rFonts w:ascii="Calibri" w:hAnsi="Calibri" w:eastAsia="Times New Roman" w:cs="Times New Roman"/>
                <w:b/>
                <w:color w:val="000000"/>
                <w:sz w:val="18"/>
                <w:szCs w:val="18"/>
                <w:lang w:eastAsia="zh-CN"/>
              </w:rPr>
            </w:pPr>
            <w:r w:rsidRPr="00E84445">
              <w:rPr>
                <w:rFonts w:ascii="Calibri" w:hAnsi="Calibri" w:eastAsia="Times New Roman" w:cs="Times New Roman"/>
                <w:b/>
                <w:color w:val="000000"/>
                <w:sz w:val="18"/>
                <w:szCs w:val="18"/>
                <w:lang w:eastAsia="zh-CN"/>
              </w:rPr>
              <w:t xml:space="preserve">                      750,000 </w:t>
            </w:r>
          </w:p>
        </w:tc>
        <w:tc>
          <w:tcPr>
            <w:tcW w:w="777" w:type="dxa"/>
            <w:tcBorders>
              <w:top w:val="single" w:color="4472C4" w:sz="4" w:space="0"/>
              <w:left w:val="nil"/>
              <w:bottom w:val="single" w:color="4472C4" w:sz="4" w:space="0"/>
              <w:right w:val="nil"/>
            </w:tcBorders>
            <w:shd w:val="clear" w:color="000000" w:fill="C6E0B4"/>
            <w:noWrap/>
            <w:vAlign w:val="bottom"/>
            <w:hideMark/>
          </w:tcPr>
          <w:p w:rsidRPr="00E84445" w:rsidR="00E84445" w:rsidP="00E84445" w:rsidRDefault="00E84445" w14:paraId="6BA232E7" w14:textId="77777777">
            <w:pPr>
              <w:spacing w:after="0" w:line="240" w:lineRule="auto"/>
              <w:jc w:val="right"/>
              <w:rPr>
                <w:rFonts w:ascii="Calibri" w:hAnsi="Calibri" w:eastAsia="Times New Roman" w:cs="Times New Roman"/>
                <w:color w:val="000000"/>
                <w:sz w:val="18"/>
                <w:szCs w:val="18"/>
                <w:lang w:eastAsia="zh-CN"/>
              </w:rPr>
            </w:pPr>
            <w:r w:rsidRPr="00E84445">
              <w:rPr>
                <w:rFonts w:ascii="Calibri" w:hAnsi="Calibri" w:eastAsia="Times New Roman" w:cs="Times New Roman"/>
                <w:color w:val="000000"/>
                <w:sz w:val="18"/>
                <w:szCs w:val="18"/>
                <w:lang w:eastAsia="zh-CN"/>
              </w:rPr>
              <w:t>-42%</w:t>
            </w:r>
          </w:p>
        </w:tc>
        <w:tc>
          <w:tcPr>
            <w:tcW w:w="3250" w:type="dxa"/>
            <w:tcBorders>
              <w:top w:val="single" w:color="4472C4" w:sz="4" w:space="0"/>
              <w:left w:val="nil"/>
              <w:bottom w:val="single" w:color="4472C4" w:sz="4" w:space="0"/>
              <w:right w:val="single" w:color="4472C4" w:sz="4" w:space="0"/>
            </w:tcBorders>
            <w:shd w:val="clear" w:color="auto" w:fill="auto"/>
            <w:vAlign w:val="bottom"/>
            <w:hideMark/>
          </w:tcPr>
          <w:p w:rsidRPr="00E84445" w:rsidR="00E84445" w:rsidP="00E84445" w:rsidRDefault="00E84445" w14:paraId="4887CABE"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E84445">
              <w:rPr>
                <w:rFonts w:ascii="Calibri" w:hAnsi="Calibri" w:eastAsia="Times New Roman" w:cs="Times New Roman"/>
                <w:color w:val="000000"/>
                <w:sz w:val="18"/>
                <w:szCs w:val="18"/>
                <w:lang w:eastAsia="zh-CN"/>
              </w:rPr>
              <w:t>Aleppo;Idleb</w:t>
            </w:r>
            <w:proofErr w:type="spellEnd"/>
            <w:proofErr w:type="gramEnd"/>
          </w:p>
        </w:tc>
      </w:tr>
    </w:tbl>
    <w:p w:rsidRPr="00A05C36" w:rsidR="00D07998" w:rsidP="00D07998" w:rsidRDefault="00D07998" w14:paraId="3453ACA6" w14:textId="77777777">
      <w:pPr>
        <w:pStyle w:val="ListParagraph"/>
        <w:ind w:left="792"/>
        <w:rPr>
          <w:rFonts w:cstheme="minorHAnsi"/>
          <w:sz w:val="20"/>
          <w:szCs w:val="20"/>
        </w:rPr>
      </w:pPr>
    </w:p>
    <w:p w:rsidR="00D07998" w:rsidP="00EA1163" w:rsidRDefault="00D07998" w14:paraId="413753D1" w14:textId="7574FD55">
      <w:pPr>
        <w:tabs>
          <w:tab w:val="left" w:pos="1578"/>
        </w:tabs>
        <w:spacing w:line="240" w:lineRule="auto"/>
      </w:pPr>
      <w:r>
        <w:br w:type="page"/>
      </w:r>
    </w:p>
    <w:p w:rsidR="00755DC7" w:rsidP="00EA1163" w:rsidRDefault="00755DC7" w14:paraId="2B1D0F85" w14:textId="77777777">
      <w:pPr>
        <w:spacing w:line="240" w:lineRule="auto"/>
        <w:jc w:val="center"/>
        <w:rPr>
          <w:rFonts w:cstheme="minorHAnsi"/>
          <w:b/>
          <w:bCs/>
          <w:sz w:val="24"/>
          <w:szCs w:val="24"/>
        </w:rPr>
      </w:pPr>
      <w:r w:rsidRPr="00BC70B3">
        <w:rPr>
          <w:rFonts w:cstheme="minorHAnsi"/>
          <w:b/>
          <w:bCs/>
          <w:sz w:val="24"/>
          <w:szCs w:val="24"/>
        </w:rPr>
        <w:t>Education Sector</w:t>
      </w:r>
    </w:p>
    <w:p w:rsidRPr="00C021AC" w:rsidR="00957C14" w:rsidP="00EA1163" w:rsidRDefault="00957C14" w14:paraId="5D61BBF3" w14:textId="38F6907E">
      <w:pPr>
        <w:spacing w:line="240" w:lineRule="auto"/>
        <w:rPr>
          <w:rFonts w:cstheme="minorHAnsi"/>
          <w:b/>
          <w:sz w:val="20"/>
          <w:szCs w:val="20"/>
        </w:rPr>
      </w:pPr>
      <w:r w:rsidRPr="00C021AC">
        <w:rPr>
          <w:rFonts w:cstheme="minorHAnsi"/>
          <w:b/>
          <w:sz w:val="20"/>
          <w:szCs w:val="20"/>
        </w:rPr>
        <w:t>Name of Coordinators:</w:t>
      </w:r>
      <w:r w:rsidRPr="00C021AC" w:rsidR="00151A3D">
        <w:rPr>
          <w:sz w:val="20"/>
          <w:szCs w:val="20"/>
        </w:rPr>
        <w:t xml:space="preserve"> </w:t>
      </w:r>
      <w:r w:rsidRPr="00C021AC" w:rsidR="00151A3D">
        <w:rPr>
          <w:rFonts w:cstheme="minorHAnsi"/>
          <w:sz w:val="20"/>
          <w:szCs w:val="20"/>
        </w:rPr>
        <w:t>Hind Omer</w:t>
      </w:r>
      <w:r w:rsidR="00985986">
        <w:rPr>
          <w:rFonts w:cstheme="minorHAnsi"/>
          <w:sz w:val="20"/>
          <w:szCs w:val="20"/>
        </w:rPr>
        <w:t>/UNICEF</w:t>
      </w:r>
      <w:r w:rsidRPr="00C021AC" w:rsidR="00151A3D">
        <w:rPr>
          <w:rFonts w:cstheme="minorHAnsi"/>
          <w:sz w:val="20"/>
          <w:szCs w:val="20"/>
        </w:rPr>
        <w:t xml:space="preserve"> and Maja Munk</w:t>
      </w:r>
      <w:r w:rsidR="004E79AB">
        <w:rPr>
          <w:rFonts w:cstheme="minorHAnsi"/>
          <w:sz w:val="20"/>
          <w:szCs w:val="20"/>
        </w:rPr>
        <w:t>/Save The Children</w:t>
      </w:r>
    </w:p>
    <w:p w:rsidRPr="00C021AC" w:rsidR="00502B8B" w:rsidP="00EA1163" w:rsidRDefault="00502B8B" w14:paraId="04C5EED9" w14:textId="77777777">
      <w:pPr>
        <w:pBdr>
          <w:top w:val="single" w:color="auto" w:sz="4" w:space="1"/>
          <w:left w:val="single" w:color="auto" w:sz="4" w:space="4"/>
          <w:bottom w:val="single" w:color="auto" w:sz="4" w:space="1"/>
          <w:right w:val="single" w:color="auto" w:sz="4" w:space="4"/>
        </w:pBdr>
        <w:spacing w:line="240" w:lineRule="auto"/>
        <w:jc w:val="center"/>
        <w:rPr>
          <w:b/>
          <w:color w:val="2F5496" w:themeColor="accent1" w:themeShade="BF"/>
          <w:sz w:val="20"/>
          <w:szCs w:val="20"/>
        </w:rPr>
      </w:pPr>
      <w:r w:rsidRPr="00C021AC">
        <w:rPr>
          <w:b/>
          <w:color w:val="2F5496" w:themeColor="accent1" w:themeShade="BF"/>
          <w:sz w:val="20"/>
          <w:szCs w:val="20"/>
          <w:highlight w:val="yellow"/>
        </w:rPr>
        <w:t>Suggested points to raise</w:t>
      </w:r>
    </w:p>
    <w:p w:rsidR="002705B2" w:rsidP="00BA05D5" w:rsidRDefault="002705B2" w14:paraId="7504D016" w14:textId="09ACE4AC">
      <w:pPr>
        <w:pStyle w:val="ListParagraph"/>
        <w:numPr>
          <w:ilvl w:val="0"/>
          <w:numId w:val="21"/>
        </w:numPr>
        <w:pBdr>
          <w:top w:val="single" w:color="auto" w:sz="4" w:space="1"/>
          <w:left w:val="single" w:color="auto" w:sz="4" w:space="4"/>
          <w:bottom w:val="single" w:color="auto" w:sz="4" w:space="1"/>
          <w:right w:val="single" w:color="auto" w:sz="4" w:space="4"/>
        </w:pBdr>
        <w:spacing w:after="120"/>
        <w:jc w:val="both"/>
        <w:rPr>
          <w:rFonts w:asciiTheme="minorHAnsi" w:hAnsiTheme="minorHAnsi" w:cstheme="minorHAnsi"/>
          <w:b/>
          <w:bCs/>
          <w:color w:val="2F5496" w:themeColor="accent1" w:themeShade="BF"/>
        </w:rPr>
      </w:pPr>
      <w:r>
        <w:rPr>
          <w:rFonts w:asciiTheme="minorHAnsi" w:hAnsiTheme="minorHAnsi" w:cstheme="minorHAnsi"/>
          <w:b/>
          <w:bCs/>
          <w:color w:val="2F5496" w:themeColor="accent1" w:themeShade="BF"/>
        </w:rPr>
        <w:t>Th</w:t>
      </w:r>
      <w:r w:rsidRPr="00C021AC">
        <w:rPr>
          <w:rFonts w:asciiTheme="minorHAnsi" w:hAnsiTheme="minorHAnsi" w:cstheme="minorHAnsi"/>
          <w:b/>
          <w:bCs/>
          <w:color w:val="2F5496" w:themeColor="accent1" w:themeShade="BF"/>
        </w:rPr>
        <w:t xml:space="preserve">e </w:t>
      </w:r>
      <w:r>
        <w:rPr>
          <w:rFonts w:asciiTheme="minorHAnsi" w:hAnsiTheme="minorHAnsi" w:cstheme="minorHAnsi"/>
          <w:b/>
          <w:bCs/>
          <w:color w:val="2F5496" w:themeColor="accent1" w:themeShade="BF"/>
        </w:rPr>
        <w:t>Education</w:t>
      </w:r>
      <w:r w:rsidRPr="00C021AC">
        <w:rPr>
          <w:rFonts w:asciiTheme="minorHAnsi" w:hAnsiTheme="minorHAnsi" w:cstheme="minorHAnsi"/>
          <w:b/>
          <w:bCs/>
          <w:color w:val="2F5496" w:themeColor="accent1" w:themeShade="BF"/>
        </w:rPr>
        <w:t xml:space="preserve"> sector </w:t>
      </w:r>
      <w:r>
        <w:rPr>
          <w:rFonts w:asciiTheme="minorHAnsi" w:hAnsiTheme="minorHAnsi" w:cstheme="minorHAnsi"/>
          <w:b/>
          <w:bCs/>
          <w:color w:val="2F5496" w:themeColor="accent1" w:themeShade="BF"/>
        </w:rPr>
        <w:t xml:space="preserve">was only 35% </w:t>
      </w:r>
      <w:proofErr w:type="gramStart"/>
      <w:r>
        <w:rPr>
          <w:rFonts w:asciiTheme="minorHAnsi" w:hAnsiTheme="minorHAnsi" w:cstheme="minorHAnsi"/>
          <w:b/>
          <w:bCs/>
          <w:color w:val="2F5496" w:themeColor="accent1" w:themeShade="BF"/>
        </w:rPr>
        <w:t>funded, yet</w:t>
      </w:r>
      <w:proofErr w:type="gramEnd"/>
      <w:r>
        <w:rPr>
          <w:rFonts w:asciiTheme="minorHAnsi" w:hAnsiTheme="minorHAnsi" w:cstheme="minorHAnsi"/>
          <w:b/>
          <w:bCs/>
          <w:color w:val="2F5496" w:themeColor="accent1" w:themeShade="BF"/>
        </w:rPr>
        <w:t xml:space="preserve"> presents a 2% increase in requirements for 2021. </w:t>
      </w:r>
      <w:r w:rsidRPr="002705B2">
        <w:rPr>
          <w:rFonts w:asciiTheme="minorHAnsi" w:hAnsiTheme="minorHAnsi" w:cstheme="minorHAnsi"/>
          <w:b/>
          <w:bCs/>
          <w:color w:val="2F5496" w:themeColor="accent1" w:themeShade="BF"/>
        </w:rPr>
        <w:t>In terms of strengthened advocacy and resource mobilization with donors, what are we not doing well enough, and what should we do differently in your view?</w:t>
      </w:r>
    </w:p>
    <w:p w:rsidRPr="00BA05D5" w:rsidR="00502B8B" w:rsidP="00BA05D5" w:rsidRDefault="00BA05D5" w14:paraId="317C3339" w14:textId="52F3BB15">
      <w:pPr>
        <w:pStyle w:val="ListParagraph"/>
        <w:numPr>
          <w:ilvl w:val="0"/>
          <w:numId w:val="21"/>
        </w:numPr>
        <w:pBdr>
          <w:top w:val="single" w:color="auto" w:sz="4" w:space="1"/>
          <w:left w:val="single" w:color="auto" w:sz="4" w:space="4"/>
          <w:bottom w:val="single" w:color="auto" w:sz="4" w:space="1"/>
          <w:right w:val="single" w:color="auto" w:sz="4" w:space="4"/>
        </w:pBdr>
        <w:jc w:val="both"/>
        <w:rPr>
          <w:rFonts w:asciiTheme="minorHAnsi" w:hAnsiTheme="minorHAnsi" w:cstheme="minorHAnsi"/>
          <w:b/>
          <w:color w:val="2F5496" w:themeColor="accent1" w:themeShade="BF"/>
        </w:rPr>
      </w:pPr>
      <w:r>
        <w:rPr>
          <w:rFonts w:asciiTheme="minorHAnsi" w:hAnsiTheme="minorHAnsi" w:cstheme="minorHAnsi"/>
          <w:b/>
          <w:bCs/>
          <w:color w:val="2F5496" w:themeColor="accent1" w:themeShade="BF"/>
        </w:rPr>
        <w:t xml:space="preserve">Schools and temporary places of learning present excellent entry points for coordinated </w:t>
      </w:r>
      <w:r w:rsidR="00A31F3C">
        <w:rPr>
          <w:rFonts w:asciiTheme="minorHAnsi" w:hAnsiTheme="minorHAnsi" w:cstheme="minorHAnsi"/>
          <w:b/>
          <w:bCs/>
          <w:color w:val="2F5496" w:themeColor="accent1" w:themeShade="BF"/>
        </w:rPr>
        <w:t>response</w:t>
      </w:r>
      <w:r>
        <w:rPr>
          <w:rFonts w:asciiTheme="minorHAnsi" w:hAnsiTheme="minorHAnsi" w:cstheme="minorHAnsi"/>
          <w:b/>
          <w:bCs/>
          <w:color w:val="2F5496" w:themeColor="accent1" w:themeShade="BF"/>
        </w:rPr>
        <w:t xml:space="preserve"> with other sectors, e.g. ERL (rehabilitation), WASH (WASH infrastructure), health (prevention messaging) and protection (awareness raising, e.g. mine risk education). </w:t>
      </w:r>
      <w:r w:rsidRPr="00BA05D5">
        <w:rPr>
          <w:rFonts w:asciiTheme="minorHAnsi" w:hAnsiTheme="minorHAnsi" w:cstheme="minorHAnsi"/>
          <w:b/>
          <w:bCs/>
          <w:color w:val="2F5496" w:themeColor="accent1" w:themeShade="BF"/>
        </w:rPr>
        <w:t xml:space="preserve">Could you elaborate on cross-sectoral coordination efforts in 2021 to strengthen joined-up impact amongst the school-age population? What are specific priorities </w:t>
      </w:r>
      <w:r>
        <w:rPr>
          <w:rFonts w:asciiTheme="minorHAnsi" w:hAnsiTheme="minorHAnsi" w:cstheme="minorHAnsi"/>
          <w:b/>
          <w:bCs/>
          <w:color w:val="2F5496" w:themeColor="accent1" w:themeShade="BF"/>
        </w:rPr>
        <w:t>in this regard? Where should more be done going forward?</w:t>
      </w:r>
      <w:r w:rsidRPr="00BA05D5">
        <w:rPr>
          <w:rFonts w:asciiTheme="minorHAnsi" w:hAnsiTheme="minorHAnsi" w:cstheme="minorHAnsi"/>
          <w:b/>
          <w:bCs/>
          <w:color w:val="2F5496" w:themeColor="accent1" w:themeShade="BF"/>
        </w:rPr>
        <w:t xml:space="preserve">   </w:t>
      </w:r>
    </w:p>
    <w:p w:rsidRPr="00B473AF" w:rsidR="00B473AF" w:rsidP="00EA1163" w:rsidRDefault="00B473AF" w14:paraId="445D5624" w14:textId="77777777">
      <w:pPr>
        <w:pBdr>
          <w:top w:val="single" w:color="auto" w:sz="4" w:space="1"/>
          <w:left w:val="single" w:color="auto" w:sz="4" w:space="4"/>
          <w:bottom w:val="single" w:color="auto" w:sz="4" w:space="1"/>
          <w:right w:val="single" w:color="auto" w:sz="4" w:space="4"/>
        </w:pBdr>
        <w:spacing w:line="240" w:lineRule="auto"/>
        <w:jc w:val="both"/>
        <w:rPr>
          <w:rFonts w:cstheme="minorHAnsi"/>
          <w:b/>
          <w:color w:val="2F5496" w:themeColor="accent1" w:themeShade="BF"/>
        </w:rPr>
      </w:pPr>
    </w:p>
    <w:p w:rsidR="00755DC7" w:rsidP="00EA1163" w:rsidRDefault="00755DC7" w14:paraId="03D8CA6F" w14:textId="77777777">
      <w:pPr>
        <w:spacing w:line="240" w:lineRule="auto"/>
        <w:jc w:val="center"/>
        <w:rPr>
          <w:rFonts w:cstheme="minorHAnsi"/>
          <w:b/>
          <w:bCs/>
          <w:sz w:val="24"/>
          <w:szCs w:val="24"/>
        </w:rPr>
      </w:pPr>
    </w:p>
    <w:p w:rsidRPr="005B68DF" w:rsidR="00755DC7" w:rsidP="005B68DF" w:rsidRDefault="00755DC7" w14:paraId="14E9329E" w14:textId="5D31146A">
      <w:pPr>
        <w:pStyle w:val="ListParagraph"/>
        <w:numPr>
          <w:ilvl w:val="0"/>
          <w:numId w:val="29"/>
        </w:numPr>
        <w:contextualSpacing/>
        <w:rPr>
          <w:rFonts w:cstheme="minorHAnsi"/>
          <w:b/>
          <w:bCs/>
          <w:sz w:val="20"/>
          <w:szCs w:val="20"/>
        </w:rPr>
      </w:pPr>
      <w:r w:rsidRPr="005B68DF">
        <w:rPr>
          <w:rFonts w:cstheme="minorHAnsi"/>
          <w:b/>
          <w:bCs/>
          <w:sz w:val="20"/>
          <w:szCs w:val="20"/>
        </w:rPr>
        <w:t>2021 Key figures</w:t>
      </w:r>
    </w:p>
    <w:p w:rsidRPr="005B68DF" w:rsidR="009D1944" w:rsidP="009D1944" w:rsidRDefault="009D1944" w14:paraId="4992F0BB" w14:textId="77777777">
      <w:pPr>
        <w:pStyle w:val="ListParagraph"/>
        <w:contextualSpacing/>
        <w:rPr>
          <w:rFonts w:cstheme="minorHAnsi"/>
          <w:b/>
          <w:bCs/>
          <w:sz w:val="20"/>
          <w:szCs w:val="20"/>
        </w:rPr>
      </w:pPr>
    </w:p>
    <w:tbl>
      <w:tblPr>
        <w:tblStyle w:val="PlainTable4"/>
        <w:tblW w:w="9265"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99"/>
        <w:gridCol w:w="1201"/>
        <w:gridCol w:w="1199"/>
        <w:gridCol w:w="1201"/>
        <w:gridCol w:w="914"/>
        <w:gridCol w:w="1607"/>
        <w:gridCol w:w="991"/>
        <w:gridCol w:w="953"/>
      </w:tblGrid>
      <w:tr w:rsidR="00755DC7" w:rsidTr="000355D3" w14:paraId="0334BD8C"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400" w:type="dxa"/>
            <w:gridSpan w:val="2"/>
          </w:tcPr>
          <w:p w:rsidRPr="00DF49CC" w:rsidR="00755DC7" w:rsidP="00191CB2" w:rsidRDefault="00755DC7" w14:paraId="51478DF2" w14:textId="77777777">
            <w:pPr>
              <w:pStyle w:val="ListParagraph"/>
              <w:ind w:left="0"/>
              <w:jc w:val="center"/>
            </w:pPr>
            <w:r w:rsidRPr="00DF49CC">
              <w:t>People in Need</w:t>
            </w:r>
          </w:p>
        </w:tc>
        <w:tc>
          <w:tcPr>
            <w:tcW w:w="2400" w:type="dxa"/>
            <w:gridSpan w:val="2"/>
          </w:tcPr>
          <w:p w:rsidRPr="00DF49CC" w:rsidR="00755DC7" w:rsidP="00191CB2" w:rsidRDefault="00755DC7" w14:paraId="411D5FBF"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DF49CC">
              <w:t>Target</w:t>
            </w:r>
          </w:p>
        </w:tc>
        <w:tc>
          <w:tcPr>
            <w:tcW w:w="2521" w:type="dxa"/>
            <w:gridSpan w:val="2"/>
          </w:tcPr>
          <w:p w:rsidRPr="00DF49CC" w:rsidR="00755DC7" w:rsidP="00191CB2" w:rsidRDefault="00755DC7" w14:paraId="1EEEEC45"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DF49CC">
              <w:t>Funding requirements</w:t>
            </w:r>
          </w:p>
        </w:tc>
        <w:tc>
          <w:tcPr>
            <w:tcW w:w="991" w:type="dxa"/>
          </w:tcPr>
          <w:p w:rsidRPr="00DF49CC" w:rsidR="00755DC7" w:rsidP="00191CB2" w:rsidRDefault="00755DC7" w14:paraId="4EEACA4A" w14:textId="77777777">
            <w:pPr>
              <w:pStyle w:val="ListParagraph"/>
              <w:ind w:left="0"/>
              <w:cnfStyle w:val="100000000000" w:firstRow="1" w:lastRow="0" w:firstColumn="0" w:lastColumn="0" w:oddVBand="0" w:evenVBand="0" w:oddHBand="0" w:evenHBand="0" w:firstRowFirstColumn="0" w:firstRowLastColumn="0" w:lastRowFirstColumn="0" w:lastRowLastColumn="0"/>
            </w:pPr>
            <w:r w:rsidRPr="00DF49CC">
              <w:t xml:space="preserve">Partners </w:t>
            </w:r>
          </w:p>
        </w:tc>
        <w:tc>
          <w:tcPr>
            <w:tcW w:w="953" w:type="dxa"/>
          </w:tcPr>
          <w:p w:rsidRPr="00DF49CC" w:rsidR="00755DC7" w:rsidP="00191CB2" w:rsidRDefault="00755DC7" w14:paraId="205F4DB4" w14:textId="77777777">
            <w:pPr>
              <w:pStyle w:val="ListParagraph"/>
              <w:ind w:left="0"/>
              <w:cnfStyle w:val="100000000000" w:firstRow="1" w:lastRow="0" w:firstColumn="0" w:lastColumn="0" w:oddVBand="0" w:evenVBand="0" w:oddHBand="0" w:evenHBand="0" w:firstRowFirstColumn="0" w:firstRowLastColumn="0" w:lastRowFirstColumn="0" w:lastRowLastColumn="0"/>
            </w:pPr>
            <w:r w:rsidRPr="00DF49CC">
              <w:t xml:space="preserve">Projects </w:t>
            </w:r>
          </w:p>
        </w:tc>
      </w:tr>
      <w:tr w:rsidR="00755DC7" w:rsidTr="000355D3" w14:paraId="6EA17170" w14:textId="7777777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199" w:type="dxa"/>
          </w:tcPr>
          <w:p w:rsidRPr="005374CC" w:rsidR="00755DC7" w:rsidP="00A31F3C" w:rsidRDefault="00755DC7" w14:paraId="19585E75" w14:textId="77777777">
            <w:pPr>
              <w:pStyle w:val="ListParagraph"/>
              <w:ind w:left="0"/>
              <w:jc w:val="center"/>
              <w:rPr>
                <w:b w:val="0"/>
                <w:bCs w:val="0"/>
                <w:i/>
                <w:iCs/>
                <w:sz w:val="14"/>
                <w:szCs w:val="14"/>
              </w:rPr>
            </w:pPr>
            <w:r w:rsidRPr="005374CC">
              <w:rPr>
                <w:b w:val="0"/>
                <w:bCs w:val="0"/>
                <w:i/>
                <w:iCs/>
                <w:sz w:val="14"/>
                <w:szCs w:val="14"/>
              </w:rPr>
              <w:t>In million</w:t>
            </w:r>
          </w:p>
        </w:tc>
        <w:tc>
          <w:tcPr>
            <w:tcW w:w="1201" w:type="dxa"/>
          </w:tcPr>
          <w:p w:rsidRPr="005374CC" w:rsidR="00755DC7" w:rsidP="00A31F3C" w:rsidRDefault="00755DC7" w14:paraId="6E2C63A1"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i/>
                <w:iCs/>
                <w:sz w:val="14"/>
                <w:szCs w:val="14"/>
              </w:rPr>
            </w:pPr>
            <w:r w:rsidRPr="005374CC">
              <w:rPr>
                <w:i/>
                <w:iCs/>
                <w:sz w:val="14"/>
                <w:szCs w:val="14"/>
              </w:rPr>
              <w:t>% variation in 2020</w:t>
            </w:r>
          </w:p>
        </w:tc>
        <w:tc>
          <w:tcPr>
            <w:tcW w:w="1199" w:type="dxa"/>
          </w:tcPr>
          <w:p w:rsidRPr="005374CC" w:rsidR="00755DC7" w:rsidP="00A31F3C" w:rsidRDefault="00755DC7" w14:paraId="37F70004"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In million</w:t>
            </w:r>
          </w:p>
        </w:tc>
        <w:tc>
          <w:tcPr>
            <w:tcW w:w="1201" w:type="dxa"/>
          </w:tcPr>
          <w:p w:rsidRPr="005374CC" w:rsidR="00755DC7" w:rsidP="00A31F3C" w:rsidRDefault="00755DC7" w14:paraId="19C85BEB"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914" w:type="dxa"/>
          </w:tcPr>
          <w:p w:rsidRPr="005374CC" w:rsidR="00755DC7" w:rsidP="00191CB2" w:rsidRDefault="00755DC7" w14:paraId="367AFE45"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US$</w:t>
            </w:r>
          </w:p>
        </w:tc>
        <w:tc>
          <w:tcPr>
            <w:tcW w:w="1607" w:type="dxa"/>
          </w:tcPr>
          <w:p w:rsidRPr="005374CC" w:rsidR="00755DC7" w:rsidP="00191CB2" w:rsidRDefault="00755DC7" w14:paraId="277963E0"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991" w:type="dxa"/>
            <w:vMerge w:val="restart"/>
          </w:tcPr>
          <w:p w:rsidR="00755DC7" w:rsidP="00191CB2" w:rsidRDefault="00755DC7" w14:paraId="76F954CD"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755DC7" w:rsidP="00191CB2" w:rsidRDefault="00755DC7" w14:paraId="563720CD"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 xml:space="preserve">64 </w:t>
            </w:r>
            <w:r w:rsidRPr="00DF49CC">
              <w:t>(-1)</w:t>
            </w:r>
          </w:p>
        </w:tc>
        <w:tc>
          <w:tcPr>
            <w:tcW w:w="953" w:type="dxa"/>
            <w:vMerge w:val="restart"/>
          </w:tcPr>
          <w:p w:rsidR="00755DC7" w:rsidP="00191CB2" w:rsidRDefault="00755DC7" w14:paraId="1BF23AB5"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755DC7" w:rsidP="00191CB2" w:rsidRDefault="00755DC7" w14:paraId="36C2EA40"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 xml:space="preserve">66 </w:t>
            </w:r>
            <w:r w:rsidRPr="00DF49CC">
              <w:t>(-6)</w:t>
            </w:r>
          </w:p>
        </w:tc>
      </w:tr>
      <w:tr w:rsidR="00755DC7" w:rsidTr="000355D3" w14:paraId="5CA29C72" w14:textId="77777777">
        <w:trPr>
          <w:trHeight w:val="288"/>
        </w:trPr>
        <w:tc>
          <w:tcPr>
            <w:cnfStyle w:val="001000000000" w:firstRow="0" w:lastRow="0" w:firstColumn="1" w:lastColumn="0" w:oddVBand="0" w:evenVBand="0" w:oddHBand="0" w:evenHBand="0" w:firstRowFirstColumn="0" w:firstRowLastColumn="0" w:lastRowFirstColumn="0" w:lastRowLastColumn="0"/>
            <w:tcW w:w="1199" w:type="dxa"/>
          </w:tcPr>
          <w:p w:rsidRPr="00DF49CC" w:rsidR="00755DC7" w:rsidP="00A31F3C" w:rsidRDefault="00755DC7" w14:paraId="4289CDDF" w14:textId="77777777">
            <w:pPr>
              <w:pStyle w:val="ListParagraph"/>
              <w:ind w:left="0"/>
              <w:jc w:val="center"/>
            </w:pPr>
            <w:r w:rsidRPr="00DF49CC">
              <w:t>6.9M</w:t>
            </w:r>
          </w:p>
        </w:tc>
        <w:tc>
          <w:tcPr>
            <w:tcW w:w="1201" w:type="dxa"/>
          </w:tcPr>
          <w:p w:rsidRPr="00DF49CC" w:rsidR="00755DC7" w:rsidP="00A31F3C" w:rsidRDefault="00755DC7" w14:paraId="3BABCB57"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DF49CC">
              <w:t>1.5%</w:t>
            </w:r>
          </w:p>
        </w:tc>
        <w:tc>
          <w:tcPr>
            <w:tcW w:w="1199" w:type="dxa"/>
          </w:tcPr>
          <w:p w:rsidRPr="00DF49CC" w:rsidR="00755DC7" w:rsidP="00A31F3C" w:rsidRDefault="00755DC7" w14:paraId="48A48E97"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r w:rsidRPr="00DF49CC">
              <w:rPr>
                <w:b/>
                <w:bCs/>
              </w:rPr>
              <w:t>4.8M</w:t>
            </w:r>
          </w:p>
        </w:tc>
        <w:tc>
          <w:tcPr>
            <w:tcW w:w="1201" w:type="dxa"/>
          </w:tcPr>
          <w:p w:rsidRPr="00DF49CC" w:rsidR="00755DC7" w:rsidP="00A31F3C" w:rsidRDefault="00755DC7" w14:paraId="6BFF035B"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DF49CC">
              <w:t>14%</w:t>
            </w:r>
          </w:p>
        </w:tc>
        <w:tc>
          <w:tcPr>
            <w:tcW w:w="914" w:type="dxa"/>
          </w:tcPr>
          <w:p w:rsidRPr="00DF49CC" w:rsidR="00755DC7" w:rsidP="00191CB2" w:rsidRDefault="00755DC7" w14:paraId="3130A55B"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r w:rsidRPr="00DF49CC">
              <w:rPr>
                <w:b/>
                <w:bCs/>
              </w:rPr>
              <w:t>298.9M</w:t>
            </w:r>
          </w:p>
        </w:tc>
        <w:tc>
          <w:tcPr>
            <w:tcW w:w="1607" w:type="dxa"/>
          </w:tcPr>
          <w:p w:rsidRPr="00DF49CC" w:rsidR="00755DC7" w:rsidP="00191CB2" w:rsidRDefault="00755DC7" w14:paraId="32447218"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DF49CC">
              <w:t>2%</w:t>
            </w:r>
          </w:p>
        </w:tc>
        <w:tc>
          <w:tcPr>
            <w:tcW w:w="991" w:type="dxa"/>
            <w:vMerge/>
          </w:tcPr>
          <w:p w:rsidR="00755DC7" w:rsidP="00A31F3C" w:rsidRDefault="00755DC7" w14:paraId="06D9DAFD"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p>
        </w:tc>
        <w:tc>
          <w:tcPr>
            <w:tcW w:w="953" w:type="dxa"/>
            <w:vMerge/>
          </w:tcPr>
          <w:p w:rsidR="00755DC7" w:rsidP="00A31F3C" w:rsidRDefault="00755DC7" w14:paraId="6EB2CE56"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p>
        </w:tc>
      </w:tr>
    </w:tbl>
    <w:p w:rsidRPr="00BC70B3" w:rsidR="00755DC7" w:rsidDel="00BC70B3" w:rsidP="00EA1163" w:rsidRDefault="00755DC7" w14:paraId="6558AE22" w14:textId="77777777">
      <w:pPr>
        <w:spacing w:line="240" w:lineRule="auto"/>
        <w:rPr>
          <w:rFonts w:cstheme="minorHAnsi"/>
          <w:b/>
          <w:bCs/>
          <w:sz w:val="20"/>
          <w:szCs w:val="20"/>
        </w:rPr>
      </w:pPr>
    </w:p>
    <w:p w:rsidRPr="00CF7A47" w:rsidR="00755DC7" w:rsidP="00CF7A47" w:rsidRDefault="00755DC7" w14:paraId="6971ACF9" w14:textId="77777777">
      <w:pPr>
        <w:pStyle w:val="ListParagraph"/>
        <w:numPr>
          <w:ilvl w:val="0"/>
          <w:numId w:val="29"/>
        </w:numPr>
        <w:rPr>
          <w:b/>
          <w:bCs/>
          <w:sz w:val="20"/>
          <w:szCs w:val="20"/>
        </w:rPr>
      </w:pPr>
      <w:r w:rsidRPr="00CF7A47">
        <w:rPr>
          <w:b/>
          <w:bCs/>
          <w:sz w:val="20"/>
          <w:szCs w:val="20"/>
        </w:rPr>
        <w:t xml:space="preserve">Most significant response gaps in 2020: </w:t>
      </w:r>
    </w:p>
    <w:p w:rsidRPr="00BC70B3" w:rsidR="00755DC7" w:rsidP="00755DC7" w:rsidRDefault="00755DC7" w14:paraId="2B1636C1" w14:textId="53584885">
      <w:pPr>
        <w:pStyle w:val="NoSpacing"/>
        <w:numPr>
          <w:ilvl w:val="0"/>
          <w:numId w:val="24"/>
        </w:numPr>
        <w:jc w:val="both"/>
        <w:rPr>
          <w:rFonts w:cstheme="minorHAnsi"/>
          <w:sz w:val="20"/>
          <w:szCs w:val="20"/>
        </w:rPr>
      </w:pPr>
      <w:r w:rsidRPr="00BC70B3">
        <w:rPr>
          <w:rFonts w:cstheme="minorHAnsi"/>
          <w:sz w:val="20"/>
          <w:szCs w:val="20"/>
        </w:rPr>
        <w:t>4.4. million people (49</w:t>
      </w:r>
      <w:r>
        <w:rPr>
          <w:rFonts w:cstheme="minorHAnsi"/>
          <w:sz w:val="20"/>
          <w:szCs w:val="20"/>
        </w:rPr>
        <w:t xml:space="preserve"> per cent</w:t>
      </w:r>
      <w:r w:rsidRPr="00BC70B3">
        <w:rPr>
          <w:rFonts w:cstheme="minorHAnsi"/>
          <w:sz w:val="20"/>
          <w:szCs w:val="20"/>
        </w:rPr>
        <w:t xml:space="preserve"> female) reached, 86</w:t>
      </w:r>
      <w:r>
        <w:rPr>
          <w:rFonts w:cstheme="minorHAnsi"/>
          <w:sz w:val="20"/>
          <w:szCs w:val="20"/>
        </w:rPr>
        <w:t xml:space="preserve"> per cent</w:t>
      </w:r>
      <w:r w:rsidRPr="00BC70B3">
        <w:rPr>
          <w:rFonts w:cstheme="minorHAnsi"/>
          <w:sz w:val="20"/>
          <w:szCs w:val="20"/>
        </w:rPr>
        <w:t xml:space="preserve"> of whom were in severity 4-5-6. </w:t>
      </w:r>
    </w:p>
    <w:p w:rsidRPr="00BC70B3" w:rsidR="00755DC7" w:rsidP="00755DC7" w:rsidRDefault="00755DC7" w14:paraId="0E3F489B" w14:textId="77777777">
      <w:pPr>
        <w:pStyle w:val="NoSpacing"/>
        <w:numPr>
          <w:ilvl w:val="0"/>
          <w:numId w:val="24"/>
        </w:numPr>
        <w:jc w:val="both"/>
        <w:rPr>
          <w:rFonts w:cstheme="minorHAnsi"/>
          <w:sz w:val="20"/>
          <w:szCs w:val="20"/>
        </w:rPr>
      </w:pPr>
      <w:r w:rsidRPr="00BC70B3">
        <w:rPr>
          <w:rFonts w:cstheme="minorHAnsi"/>
          <w:sz w:val="20"/>
          <w:szCs w:val="20"/>
        </w:rPr>
        <w:t xml:space="preserve">While many people benefited from the response, the response remains supply driven despite efforts for education services to benefit from a more comprehensive support package that addresses quality along with availability. </w:t>
      </w:r>
    </w:p>
    <w:p w:rsidRPr="00BC70B3" w:rsidR="00755DC7" w:rsidP="00755DC7" w:rsidRDefault="00755DC7" w14:paraId="2CD12885" w14:textId="77777777">
      <w:pPr>
        <w:pStyle w:val="NoSpacing"/>
        <w:numPr>
          <w:ilvl w:val="0"/>
          <w:numId w:val="24"/>
        </w:numPr>
        <w:jc w:val="both"/>
        <w:rPr>
          <w:rStyle w:val="CommentReference"/>
          <w:rFonts w:cstheme="minorHAnsi"/>
          <w:sz w:val="20"/>
          <w:szCs w:val="20"/>
        </w:rPr>
      </w:pPr>
      <w:r w:rsidRPr="00BC70B3">
        <w:rPr>
          <w:rFonts w:cstheme="minorHAnsi"/>
          <w:sz w:val="20"/>
          <w:szCs w:val="20"/>
        </w:rPr>
        <w:t xml:space="preserve">Insufficient availability of education services for IDPs, overburdened and rural communities continued.  </w:t>
      </w:r>
    </w:p>
    <w:p w:rsidRPr="00BC70B3" w:rsidR="00755DC7" w:rsidP="00755DC7" w:rsidRDefault="00755DC7" w14:paraId="6F0C315B" w14:textId="27D96F14">
      <w:pPr>
        <w:pStyle w:val="NoSpacing"/>
        <w:numPr>
          <w:ilvl w:val="0"/>
          <w:numId w:val="24"/>
        </w:numPr>
        <w:jc w:val="both"/>
        <w:rPr>
          <w:rFonts w:cstheme="minorHAnsi"/>
          <w:sz w:val="20"/>
          <w:szCs w:val="20"/>
        </w:rPr>
      </w:pPr>
      <w:r w:rsidRPr="00BC70B3">
        <w:rPr>
          <w:rFonts w:cstheme="minorHAnsi"/>
          <w:sz w:val="20"/>
          <w:szCs w:val="20"/>
        </w:rPr>
        <w:t>Education investments disproportionately focused on lower primary</w:t>
      </w:r>
      <w:r w:rsidRPr="00BC70B3" w:rsidDel="00110A2B">
        <w:rPr>
          <w:rFonts w:cstheme="minorHAnsi"/>
          <w:sz w:val="20"/>
          <w:szCs w:val="20"/>
        </w:rPr>
        <w:t>.</w:t>
      </w:r>
      <w:r w:rsidRPr="00BC70B3">
        <w:rPr>
          <w:rFonts w:cstheme="minorHAnsi"/>
          <w:sz w:val="20"/>
          <w:szCs w:val="20"/>
        </w:rPr>
        <w:t xml:space="preserve"> Early childhood, upper primary, secondary and vocational training continued to be under invested. Children with special needs remain largely excluded, often due to insufficient investments in learning environments and quality education. </w:t>
      </w:r>
    </w:p>
    <w:p w:rsidRPr="00BC70B3" w:rsidR="00755DC7" w:rsidP="00755DC7" w:rsidRDefault="00755DC7" w14:paraId="41CE755B" w14:textId="77777777">
      <w:pPr>
        <w:pStyle w:val="NoSpacing"/>
        <w:numPr>
          <w:ilvl w:val="0"/>
          <w:numId w:val="24"/>
        </w:numPr>
        <w:jc w:val="both"/>
        <w:rPr>
          <w:rFonts w:cstheme="minorHAnsi"/>
          <w:sz w:val="20"/>
          <w:szCs w:val="20"/>
        </w:rPr>
      </w:pPr>
      <w:r w:rsidRPr="00BC70B3">
        <w:rPr>
          <w:rFonts w:cstheme="minorHAnsi"/>
          <w:sz w:val="20"/>
          <w:szCs w:val="20"/>
        </w:rPr>
        <w:t xml:space="preserve">Pandemic related health measures (shuttering schools, limiting gatherings and movements, etc.) made it difficult to provide education services given all the obstacles providing remote and home-based learning. This compounded with sharp economic decline made it difficult for families to access and prioritize services that were available.  </w:t>
      </w:r>
    </w:p>
    <w:p w:rsidRPr="00BC70B3" w:rsidR="00755DC7" w:rsidP="00755DC7" w:rsidRDefault="00755DC7" w14:paraId="2879034B" w14:textId="77777777">
      <w:pPr>
        <w:pStyle w:val="NoSpacing"/>
        <w:numPr>
          <w:ilvl w:val="0"/>
          <w:numId w:val="24"/>
        </w:numPr>
        <w:jc w:val="both"/>
        <w:rPr>
          <w:rFonts w:cstheme="minorHAnsi"/>
          <w:sz w:val="20"/>
          <w:szCs w:val="20"/>
        </w:rPr>
      </w:pPr>
      <w:r w:rsidRPr="00BC70B3">
        <w:rPr>
          <w:rFonts w:cstheme="minorHAnsi"/>
          <w:sz w:val="20"/>
          <w:szCs w:val="20"/>
        </w:rPr>
        <w:t xml:space="preserve">The repair, expansion and winterization of schools remained low despite the criticality of these investments in establishing safe and conductive learning environments. </w:t>
      </w:r>
    </w:p>
    <w:p w:rsidRPr="00BC70B3" w:rsidR="00755DC7" w:rsidP="00755DC7" w:rsidRDefault="00755DC7" w14:paraId="458028EA" w14:textId="1292FB8B">
      <w:pPr>
        <w:pStyle w:val="NoSpacing"/>
        <w:numPr>
          <w:ilvl w:val="0"/>
          <w:numId w:val="24"/>
        </w:numPr>
        <w:jc w:val="both"/>
        <w:rPr>
          <w:sz w:val="20"/>
          <w:szCs w:val="20"/>
        </w:rPr>
      </w:pPr>
      <w:r w:rsidRPr="1F49E435">
        <w:rPr>
          <w:sz w:val="20"/>
          <w:szCs w:val="20"/>
        </w:rPr>
        <w:t xml:space="preserve">Continuous professional development of teachers and providing them with remuneration remained insufficient.  </w:t>
      </w:r>
    </w:p>
    <w:p w:rsidR="009D1944" w:rsidP="00EA1163" w:rsidRDefault="009D1944" w14:paraId="6F852419" w14:textId="77777777">
      <w:pPr>
        <w:pStyle w:val="ListParagraph"/>
        <w:spacing w:after="160"/>
        <w:ind w:left="360"/>
        <w:contextualSpacing/>
        <w:rPr>
          <w:b/>
          <w:bCs/>
          <w:sz w:val="20"/>
          <w:szCs w:val="20"/>
        </w:rPr>
      </w:pPr>
    </w:p>
    <w:p w:rsidRPr="00BC70B3" w:rsidR="00755DC7" w:rsidP="00EA1163" w:rsidRDefault="00755DC7" w14:paraId="763FB409" w14:textId="6E902A75">
      <w:pPr>
        <w:pStyle w:val="ListParagraph"/>
        <w:numPr>
          <w:ilvl w:val="0"/>
          <w:numId w:val="28"/>
        </w:numPr>
        <w:spacing w:after="160"/>
        <w:contextualSpacing/>
      </w:pPr>
      <w:r w:rsidRPr="00CB54B6">
        <w:rPr>
          <w:b/>
          <w:bCs/>
          <w:sz w:val="20"/>
          <w:szCs w:val="20"/>
        </w:rPr>
        <w:t xml:space="preserve">Critical sector priorities in 2021:   </w:t>
      </w:r>
    </w:p>
    <w:p w:rsidRPr="00BC70B3" w:rsidR="00755DC7" w:rsidP="00755DC7" w:rsidRDefault="00755DC7" w14:paraId="3C42BEFA" w14:textId="77777777">
      <w:pPr>
        <w:pStyle w:val="NoSpacing"/>
        <w:numPr>
          <w:ilvl w:val="0"/>
          <w:numId w:val="24"/>
        </w:numPr>
        <w:jc w:val="both"/>
        <w:rPr>
          <w:rFonts w:cstheme="minorHAnsi"/>
          <w:sz w:val="20"/>
          <w:szCs w:val="20"/>
        </w:rPr>
      </w:pPr>
      <w:r w:rsidRPr="00CB54B6">
        <w:rPr>
          <w:rFonts w:cstheme="minorHAnsi"/>
          <w:sz w:val="20"/>
          <w:szCs w:val="20"/>
        </w:rPr>
        <w:t>Availability &amp; Accessibility:</w:t>
      </w:r>
      <w:r w:rsidRPr="00BC70B3">
        <w:rPr>
          <w:rFonts w:cstheme="minorHAnsi"/>
          <w:sz w:val="20"/>
          <w:szCs w:val="20"/>
        </w:rPr>
        <w:t xml:space="preserve"> Expanding the availability and accessibility of learning spaces across learning levels and working towards enhancing the safety and security of the physical learning environment. </w:t>
      </w:r>
    </w:p>
    <w:p w:rsidRPr="00BC70B3" w:rsidR="00755DC7" w:rsidP="00755DC7" w:rsidRDefault="00755DC7" w14:paraId="67A55D7A" w14:textId="77777777">
      <w:pPr>
        <w:pStyle w:val="NoSpacing"/>
        <w:numPr>
          <w:ilvl w:val="0"/>
          <w:numId w:val="24"/>
        </w:numPr>
        <w:jc w:val="both"/>
        <w:rPr>
          <w:rFonts w:cstheme="minorHAnsi"/>
          <w:sz w:val="20"/>
          <w:szCs w:val="20"/>
        </w:rPr>
      </w:pPr>
      <w:r w:rsidRPr="00CB54B6">
        <w:rPr>
          <w:rFonts w:cstheme="minorHAnsi"/>
          <w:sz w:val="20"/>
          <w:szCs w:val="20"/>
        </w:rPr>
        <w:t>Quality</w:t>
      </w:r>
      <w:r w:rsidRPr="00BC70B3">
        <w:rPr>
          <w:rFonts w:cstheme="minorHAnsi"/>
          <w:sz w:val="20"/>
          <w:szCs w:val="20"/>
        </w:rPr>
        <w:t xml:space="preserve">: Supporting more holistic education services including integrated social-emotional learning and psychosocial support, for learners and teachers; and professional development of regularly remunerated teachers to better ensure retention of skilled teachers. </w:t>
      </w:r>
    </w:p>
    <w:p w:rsidRPr="00BC70B3" w:rsidR="00755DC7" w:rsidP="00755DC7" w:rsidRDefault="00755DC7" w14:paraId="4DFFF74C" w14:textId="77777777">
      <w:pPr>
        <w:pStyle w:val="NoSpacing"/>
        <w:numPr>
          <w:ilvl w:val="0"/>
          <w:numId w:val="24"/>
        </w:numPr>
        <w:jc w:val="both"/>
        <w:rPr>
          <w:rFonts w:cstheme="minorHAnsi"/>
          <w:sz w:val="20"/>
          <w:szCs w:val="20"/>
        </w:rPr>
      </w:pPr>
      <w:r w:rsidRPr="00CB54B6">
        <w:rPr>
          <w:rFonts w:cstheme="minorHAnsi"/>
          <w:sz w:val="20"/>
          <w:szCs w:val="20"/>
        </w:rPr>
        <w:t>Education Systems:</w:t>
      </w:r>
      <w:r w:rsidRPr="00BC70B3">
        <w:rPr>
          <w:rFonts w:cstheme="minorHAnsi"/>
          <w:sz w:val="20"/>
          <w:szCs w:val="20"/>
        </w:rPr>
        <w:t xml:space="preserve"> Strengthen the capacities and participation of communities and parents in school management while advocating for the acknowledgement of previous learning. The sector is also working towards increasing the knowledge and skills of humanitarian education actors.    </w:t>
      </w:r>
    </w:p>
    <w:p w:rsidRPr="00CB54B6" w:rsidR="00755DC7" w:rsidP="00EA1163" w:rsidRDefault="00755DC7" w14:paraId="385FFB2D" w14:textId="47C6338B">
      <w:pPr>
        <w:pStyle w:val="ListParagraph"/>
        <w:numPr>
          <w:ilvl w:val="0"/>
          <w:numId w:val="24"/>
        </w:numPr>
        <w:spacing w:after="160"/>
        <w:contextualSpacing/>
        <w:jc w:val="both"/>
        <w:rPr>
          <w:rFonts w:cstheme="minorHAnsi"/>
          <w:sz w:val="20"/>
          <w:szCs w:val="20"/>
        </w:rPr>
      </w:pPr>
      <w:r w:rsidRPr="00CB54B6">
        <w:rPr>
          <w:rFonts w:cstheme="minorHAnsi"/>
          <w:sz w:val="20"/>
          <w:szCs w:val="20"/>
        </w:rPr>
        <w:t xml:space="preserve">The pandemic greatly reduced learning time hence 2021 is focused on bringing children back to learning in a safe environment and compensating for lost time. The pandemic necessitated a shift in support modalities to continue learning while learning spaces were closed or operating with reduced capacity. In 2021 education interventions will continue to factor COVID mitigation measures in the design and implementation of education services. </w:t>
      </w:r>
    </w:p>
    <w:p w:rsidRPr="00CB54B6" w:rsidR="009D1944" w:rsidP="00EA1163" w:rsidRDefault="009D1944" w14:paraId="435205C6" w14:textId="77777777">
      <w:pPr>
        <w:pStyle w:val="ListParagraph"/>
        <w:spacing w:after="160"/>
        <w:contextualSpacing/>
        <w:jc w:val="both"/>
        <w:rPr>
          <w:rFonts w:cstheme="minorHAnsi"/>
          <w:sz w:val="20"/>
          <w:szCs w:val="20"/>
        </w:rPr>
      </w:pPr>
    </w:p>
    <w:p w:rsidRPr="00CB54B6" w:rsidR="00A1206C" w:rsidP="00EA1163" w:rsidRDefault="00A1206C" w14:paraId="4DCAE576" w14:textId="77777777">
      <w:pPr>
        <w:pStyle w:val="ListParagraph"/>
        <w:spacing w:after="160"/>
        <w:contextualSpacing/>
        <w:jc w:val="both"/>
        <w:rPr>
          <w:rFonts w:cstheme="minorHAnsi"/>
          <w:sz w:val="20"/>
          <w:szCs w:val="20"/>
        </w:rPr>
      </w:pPr>
    </w:p>
    <w:p w:rsidRPr="005374CC" w:rsidR="00755DC7" w:rsidP="009D1944" w:rsidRDefault="00755DC7" w14:paraId="3D4A1498" w14:textId="77777777">
      <w:pPr>
        <w:pStyle w:val="ListParagraph"/>
        <w:numPr>
          <w:ilvl w:val="0"/>
          <w:numId w:val="28"/>
        </w:numPr>
        <w:rPr>
          <w:b/>
          <w:bCs/>
        </w:rPr>
      </w:pPr>
      <w:r w:rsidRPr="00CB54B6">
        <w:rPr>
          <w:b/>
        </w:rPr>
        <w:t xml:space="preserve">Key messages to donors as at June 2021 (which the HCs could help amplify): </w:t>
      </w:r>
    </w:p>
    <w:p w:rsidRPr="00CB54B6" w:rsidR="00755DC7" w:rsidP="00EA1163" w:rsidRDefault="00755DC7" w14:paraId="0D86D810" w14:textId="4C910363">
      <w:pPr>
        <w:pStyle w:val="ListParagraph"/>
        <w:numPr>
          <w:ilvl w:val="0"/>
          <w:numId w:val="24"/>
        </w:numPr>
        <w:spacing w:after="160"/>
        <w:contextualSpacing/>
        <w:jc w:val="both"/>
        <w:rPr>
          <w:b/>
          <w:bCs/>
          <w:sz w:val="20"/>
          <w:szCs w:val="20"/>
        </w:rPr>
      </w:pPr>
      <w:r w:rsidRPr="00CB54B6">
        <w:rPr>
          <w:sz w:val="20"/>
          <w:szCs w:val="20"/>
        </w:rPr>
        <w:t xml:space="preserve">The pandemic highlighted and compounded the negative impact of a decade of insufficient investment in education. Greater investment is needed cross the education service continuum </w:t>
      </w:r>
      <w:r>
        <w:rPr>
          <w:sz w:val="20"/>
          <w:szCs w:val="20"/>
        </w:rPr>
        <w:t>to ensure</w:t>
      </w:r>
      <w:r w:rsidRPr="00CB54B6">
        <w:rPr>
          <w:sz w:val="20"/>
          <w:szCs w:val="20"/>
        </w:rPr>
        <w:t xml:space="preserve"> children </w:t>
      </w:r>
      <w:r>
        <w:rPr>
          <w:sz w:val="20"/>
          <w:szCs w:val="20"/>
        </w:rPr>
        <w:t>attend</w:t>
      </w:r>
      <w:r w:rsidRPr="00CB54B6">
        <w:rPr>
          <w:sz w:val="20"/>
          <w:szCs w:val="20"/>
        </w:rPr>
        <w:t xml:space="preserve"> school. </w:t>
      </w:r>
    </w:p>
    <w:p w:rsidRPr="00BC70B3" w:rsidR="00755DC7" w:rsidP="00EA1163" w:rsidRDefault="00755DC7" w14:paraId="02428E51" w14:textId="73B636E4">
      <w:pPr>
        <w:pStyle w:val="ListParagraph"/>
        <w:numPr>
          <w:ilvl w:val="0"/>
          <w:numId w:val="24"/>
        </w:numPr>
        <w:spacing w:after="160"/>
        <w:contextualSpacing/>
        <w:jc w:val="both"/>
        <w:rPr>
          <w:rFonts w:cstheme="minorHAnsi"/>
          <w:sz w:val="20"/>
          <w:szCs w:val="20"/>
        </w:rPr>
      </w:pPr>
      <w:r w:rsidRPr="00CB54B6">
        <w:rPr>
          <w:rFonts w:cstheme="minorHAnsi"/>
          <w:sz w:val="20"/>
          <w:szCs w:val="20"/>
        </w:rPr>
        <w:t>A decade into the conflict education should be an available, predictable and continuous service.</w:t>
      </w:r>
      <w:r w:rsidRPr="00BC70B3">
        <w:rPr>
          <w:rFonts w:cstheme="minorHAnsi"/>
          <w:sz w:val="20"/>
          <w:szCs w:val="20"/>
        </w:rPr>
        <w:t xml:space="preserve"> </w:t>
      </w:r>
      <w:r w:rsidRPr="00CB54B6">
        <w:rPr>
          <w:rFonts w:cstheme="minorHAnsi"/>
          <w:sz w:val="20"/>
          <w:szCs w:val="20"/>
        </w:rPr>
        <w:t>Education support needs to be de-politicized to create pathways for children to integrate from the non-formal to the formal system.</w:t>
      </w:r>
      <w:r w:rsidRPr="00BC70B3">
        <w:rPr>
          <w:rFonts w:cstheme="minorHAnsi"/>
          <w:sz w:val="20"/>
          <w:szCs w:val="20"/>
        </w:rPr>
        <w:t xml:space="preserve"> Short-term stop-gap focused funding and short-term success measurements undermine the potential social-emotional and learning gains children could have achieved in a decade. </w:t>
      </w:r>
    </w:p>
    <w:p w:rsidRPr="00BA440E" w:rsidR="00755DC7" w:rsidP="00EA1163" w:rsidRDefault="00755DC7" w14:paraId="58B9E5C7" w14:textId="111E371C">
      <w:pPr>
        <w:pStyle w:val="ListParagraph"/>
        <w:numPr>
          <w:ilvl w:val="0"/>
          <w:numId w:val="24"/>
        </w:numPr>
        <w:spacing w:after="160"/>
        <w:contextualSpacing/>
        <w:jc w:val="both"/>
        <w:rPr>
          <w:rFonts w:cstheme="minorHAnsi"/>
          <w:sz w:val="20"/>
          <w:szCs w:val="20"/>
        </w:rPr>
      </w:pPr>
      <w:r w:rsidRPr="00CB54B6">
        <w:rPr>
          <w:rFonts w:cstheme="minorBidi"/>
          <w:sz w:val="20"/>
          <w:szCs w:val="20"/>
        </w:rPr>
        <w:t xml:space="preserve">Learning spaces should be safe and conducive for learning. Donors, governments and accountability mechanisms should increase their efforts in prevention of, and accountability for, attacks on education. Investments making learning spaces free of hazards by repairing unsafe schools and establish new learning spaces to reduce the threats children and teachers face traveling to and from places of learning remains a priority. </w:t>
      </w:r>
    </w:p>
    <w:p w:rsidRPr="00CB54B6" w:rsidR="00755DC7" w:rsidP="00EA1163" w:rsidRDefault="00755DC7" w14:paraId="14031D4D" w14:textId="76BFCBE3">
      <w:pPr>
        <w:pStyle w:val="ListParagraph"/>
        <w:numPr>
          <w:ilvl w:val="0"/>
          <w:numId w:val="24"/>
        </w:numPr>
        <w:spacing w:after="160"/>
        <w:contextualSpacing/>
        <w:jc w:val="both"/>
        <w:rPr>
          <w:rFonts w:cstheme="minorHAnsi"/>
          <w:b/>
          <w:bCs/>
          <w:sz w:val="20"/>
          <w:szCs w:val="20"/>
        </w:rPr>
      </w:pPr>
      <w:r w:rsidRPr="00CB54B6">
        <w:rPr>
          <w:rFonts w:cstheme="minorHAnsi"/>
          <w:sz w:val="20"/>
          <w:szCs w:val="20"/>
        </w:rPr>
        <w:t>Investment in accredited and non-accredited formal</w:t>
      </w:r>
      <w:r w:rsidRPr="00CB54B6">
        <w:rPr>
          <w:rStyle w:val="FootnoteReference"/>
          <w:rFonts w:cstheme="minorHAnsi"/>
          <w:sz w:val="20"/>
          <w:szCs w:val="20"/>
        </w:rPr>
        <w:footnoteReference w:id="2"/>
      </w:r>
      <w:r w:rsidRPr="00CB54B6">
        <w:rPr>
          <w:rFonts w:cstheme="minorHAnsi"/>
          <w:sz w:val="20"/>
          <w:szCs w:val="20"/>
        </w:rPr>
        <w:t xml:space="preserve"> education systems is essential to sustainable and resilient education systems. </w:t>
      </w:r>
      <w:r w:rsidRPr="00BC70B3">
        <w:rPr>
          <w:rFonts w:cstheme="minorHAnsi"/>
          <w:sz w:val="20"/>
          <w:szCs w:val="20"/>
        </w:rPr>
        <w:t xml:space="preserve">A formal system that is able to absorb new, and retain current, students while providing levels of service that are deemed relevant is critical to enabling demand for services and better ensuring that children enroll, attend and do not drop out of school.  </w:t>
      </w:r>
    </w:p>
    <w:p w:rsidR="00A1206C" w:rsidP="00EA1163" w:rsidRDefault="00A1206C" w14:paraId="0F89A775" w14:textId="77777777">
      <w:pPr>
        <w:spacing w:line="240" w:lineRule="auto"/>
        <w:contextualSpacing/>
        <w:jc w:val="both"/>
        <w:rPr>
          <w:rFonts w:cstheme="minorHAnsi"/>
          <w:b/>
          <w:bCs/>
          <w:sz w:val="20"/>
          <w:szCs w:val="20"/>
        </w:rPr>
      </w:pPr>
    </w:p>
    <w:p w:rsidRPr="009D1944" w:rsidR="00755DC7" w:rsidP="00A1206C" w:rsidRDefault="00755DC7" w14:paraId="70475946" w14:textId="1CD48975">
      <w:pPr>
        <w:spacing w:line="240" w:lineRule="auto"/>
        <w:contextualSpacing/>
        <w:jc w:val="both"/>
        <w:rPr>
          <w:rFonts w:cstheme="minorHAnsi"/>
          <w:b/>
          <w:bCs/>
          <w:sz w:val="20"/>
          <w:szCs w:val="20"/>
        </w:rPr>
      </w:pPr>
      <w:r w:rsidRPr="009D1944">
        <w:rPr>
          <w:rFonts w:cstheme="minorHAnsi"/>
          <w:b/>
          <w:bCs/>
          <w:sz w:val="20"/>
          <w:szCs w:val="20"/>
        </w:rPr>
        <w:t xml:space="preserve">Top appealing organizations in the sector: </w:t>
      </w:r>
    </w:p>
    <w:p w:rsidRPr="00BC70B3" w:rsidR="00755DC7" w:rsidP="00755DC7" w:rsidRDefault="00755DC7" w14:paraId="63304691" w14:textId="77777777">
      <w:pPr>
        <w:pStyle w:val="ListParagraph"/>
        <w:ind w:left="792"/>
        <w:jc w:val="both"/>
        <w:rPr>
          <w:rFonts w:cstheme="minorHAnsi"/>
          <w:sz w:val="20"/>
          <w:szCs w:val="20"/>
        </w:rPr>
      </w:pPr>
    </w:p>
    <w:tbl>
      <w:tblPr>
        <w:tblW w:w="10716" w:type="dxa"/>
        <w:tblLook w:val="04A0" w:firstRow="1" w:lastRow="0" w:firstColumn="1" w:lastColumn="0" w:noHBand="0" w:noVBand="1"/>
      </w:tblPr>
      <w:tblGrid>
        <w:gridCol w:w="2488"/>
        <w:gridCol w:w="1231"/>
        <w:gridCol w:w="1112"/>
        <w:gridCol w:w="1231"/>
        <w:gridCol w:w="888"/>
        <w:gridCol w:w="3766"/>
      </w:tblGrid>
      <w:tr w:rsidRPr="00520D3D" w:rsidR="00520D3D" w:rsidTr="00520D3D" w14:paraId="1F41EC52" w14:textId="77777777">
        <w:trPr>
          <w:trHeight w:val="404"/>
        </w:trPr>
        <w:tc>
          <w:tcPr>
            <w:tcW w:w="2700" w:type="dxa"/>
            <w:tcBorders>
              <w:top w:val="single" w:color="4472C4" w:sz="4" w:space="0"/>
              <w:left w:val="single" w:color="4472C4" w:sz="4" w:space="0"/>
              <w:bottom w:val="nil"/>
              <w:right w:val="nil"/>
            </w:tcBorders>
            <w:shd w:val="clear" w:color="4472C4" w:fill="4472C4"/>
            <w:vAlign w:val="center"/>
            <w:hideMark/>
          </w:tcPr>
          <w:p w:rsidRPr="00520D3D" w:rsidR="00520D3D" w:rsidP="00520D3D" w:rsidRDefault="00520D3D" w14:paraId="19E2548F" w14:textId="77777777">
            <w:pPr>
              <w:spacing w:after="0" w:line="240" w:lineRule="auto"/>
              <w:rPr>
                <w:rFonts w:ascii="Calibri" w:hAnsi="Calibri" w:eastAsia="Times New Roman" w:cs="Times New Roman"/>
                <w:b/>
                <w:bCs/>
                <w:color w:val="FFFFFF"/>
                <w:sz w:val="18"/>
                <w:szCs w:val="18"/>
                <w:lang w:eastAsia="zh-CN"/>
              </w:rPr>
            </w:pPr>
            <w:r w:rsidRPr="00520D3D">
              <w:rPr>
                <w:rFonts w:ascii="Calibri" w:hAnsi="Calibri" w:eastAsia="Times New Roman" w:cs="Times New Roman"/>
                <w:b/>
                <w:bCs/>
                <w:color w:val="FFFFFF"/>
                <w:sz w:val="18"/>
                <w:szCs w:val="18"/>
                <w:lang w:eastAsia="zh-CN"/>
              </w:rPr>
              <w:t>Organizations</w:t>
            </w:r>
          </w:p>
        </w:tc>
        <w:tc>
          <w:tcPr>
            <w:tcW w:w="1181" w:type="dxa"/>
            <w:tcBorders>
              <w:top w:val="single" w:color="4472C4" w:sz="4" w:space="0"/>
              <w:left w:val="nil"/>
              <w:bottom w:val="nil"/>
              <w:right w:val="nil"/>
            </w:tcBorders>
            <w:shd w:val="clear" w:color="4472C4" w:fill="4472C4"/>
            <w:vAlign w:val="bottom"/>
            <w:hideMark/>
          </w:tcPr>
          <w:p w:rsidRPr="00520D3D" w:rsidR="00520D3D" w:rsidP="00520D3D" w:rsidRDefault="00520D3D" w14:paraId="1AD2B11E" w14:textId="77777777">
            <w:pPr>
              <w:spacing w:after="0" w:line="240" w:lineRule="auto"/>
              <w:jc w:val="right"/>
              <w:rPr>
                <w:rFonts w:ascii="Calibri" w:hAnsi="Calibri" w:eastAsia="Times New Roman" w:cs="Times New Roman"/>
                <w:b/>
                <w:bCs/>
                <w:color w:val="FFFFFF"/>
                <w:sz w:val="18"/>
                <w:szCs w:val="18"/>
                <w:lang w:eastAsia="zh-CN"/>
              </w:rPr>
            </w:pPr>
            <w:r w:rsidRPr="00520D3D">
              <w:rPr>
                <w:rFonts w:ascii="Calibri" w:hAnsi="Calibri" w:eastAsia="Times New Roman" w:cs="Times New Roman"/>
                <w:b/>
                <w:bCs/>
                <w:color w:val="FFFFFF"/>
                <w:sz w:val="18"/>
                <w:szCs w:val="18"/>
                <w:lang w:eastAsia="zh-CN"/>
              </w:rPr>
              <w:t xml:space="preserve"> 2020 requirements US$ </w:t>
            </w:r>
          </w:p>
        </w:tc>
        <w:tc>
          <w:tcPr>
            <w:tcW w:w="1112" w:type="dxa"/>
            <w:tcBorders>
              <w:top w:val="single" w:color="4472C4" w:sz="4" w:space="0"/>
              <w:left w:val="nil"/>
              <w:bottom w:val="nil"/>
              <w:right w:val="nil"/>
            </w:tcBorders>
            <w:shd w:val="clear" w:color="4472C4" w:fill="4472C4"/>
            <w:vAlign w:val="bottom"/>
            <w:hideMark/>
          </w:tcPr>
          <w:p w:rsidRPr="00520D3D" w:rsidR="00520D3D" w:rsidP="00520D3D" w:rsidRDefault="00520D3D" w14:paraId="1FE18419" w14:textId="77777777">
            <w:pPr>
              <w:spacing w:after="0" w:line="240" w:lineRule="auto"/>
              <w:jc w:val="right"/>
              <w:rPr>
                <w:rFonts w:ascii="Calibri" w:hAnsi="Calibri" w:eastAsia="Times New Roman" w:cs="Times New Roman"/>
                <w:b/>
                <w:bCs/>
                <w:color w:val="FFFFFF"/>
                <w:sz w:val="18"/>
                <w:szCs w:val="18"/>
                <w:lang w:eastAsia="zh-CN"/>
              </w:rPr>
            </w:pPr>
            <w:r w:rsidRPr="00520D3D">
              <w:rPr>
                <w:rFonts w:ascii="Calibri" w:hAnsi="Calibri" w:eastAsia="Times New Roman" w:cs="Times New Roman"/>
                <w:b/>
                <w:bCs/>
                <w:color w:val="FFFFFF"/>
                <w:sz w:val="18"/>
                <w:szCs w:val="18"/>
                <w:lang w:eastAsia="zh-CN"/>
              </w:rPr>
              <w:t xml:space="preserve">2020 </w:t>
            </w:r>
            <w:r w:rsidRPr="00520D3D">
              <w:rPr>
                <w:rFonts w:ascii="Calibri" w:hAnsi="Calibri" w:eastAsia="Times New Roman" w:cs="Times New Roman"/>
                <w:b/>
                <w:bCs/>
                <w:color w:val="FFFFFF"/>
                <w:sz w:val="18"/>
                <w:szCs w:val="18"/>
                <w:lang w:eastAsia="zh-CN"/>
              </w:rPr>
              <w:br/>
            </w:r>
            <w:r w:rsidRPr="00520D3D">
              <w:rPr>
                <w:rFonts w:ascii="Calibri" w:hAnsi="Calibri" w:eastAsia="Times New Roman" w:cs="Times New Roman"/>
                <w:b/>
                <w:bCs/>
                <w:color w:val="FFFFFF"/>
                <w:sz w:val="18"/>
                <w:szCs w:val="18"/>
                <w:lang w:eastAsia="zh-CN"/>
              </w:rPr>
              <w:t>Coverage %</w:t>
            </w:r>
          </w:p>
        </w:tc>
        <w:tc>
          <w:tcPr>
            <w:tcW w:w="1183" w:type="dxa"/>
            <w:tcBorders>
              <w:top w:val="single" w:color="4472C4" w:sz="4" w:space="0"/>
              <w:left w:val="nil"/>
              <w:bottom w:val="nil"/>
              <w:right w:val="nil"/>
            </w:tcBorders>
            <w:shd w:val="clear" w:color="4472C4" w:fill="4472C4"/>
            <w:vAlign w:val="bottom"/>
            <w:hideMark/>
          </w:tcPr>
          <w:p w:rsidRPr="00520D3D" w:rsidR="00520D3D" w:rsidP="00520D3D" w:rsidRDefault="00520D3D" w14:paraId="29956F67" w14:textId="77777777">
            <w:pPr>
              <w:spacing w:after="0" w:line="240" w:lineRule="auto"/>
              <w:jc w:val="right"/>
              <w:rPr>
                <w:rFonts w:ascii="Calibri" w:hAnsi="Calibri" w:eastAsia="Times New Roman" w:cs="Times New Roman"/>
                <w:b/>
                <w:bCs/>
                <w:color w:val="FFFFFF"/>
                <w:sz w:val="18"/>
                <w:szCs w:val="18"/>
                <w:lang w:eastAsia="zh-CN"/>
              </w:rPr>
            </w:pPr>
            <w:r w:rsidRPr="00520D3D">
              <w:rPr>
                <w:rFonts w:ascii="Calibri" w:hAnsi="Calibri" w:eastAsia="Times New Roman" w:cs="Times New Roman"/>
                <w:b/>
                <w:bCs/>
                <w:color w:val="FFFFFF"/>
                <w:sz w:val="18"/>
                <w:szCs w:val="18"/>
                <w:lang w:eastAsia="zh-CN"/>
              </w:rPr>
              <w:t xml:space="preserve"> 2021 requirements US$ </w:t>
            </w:r>
          </w:p>
        </w:tc>
        <w:tc>
          <w:tcPr>
            <w:tcW w:w="868" w:type="dxa"/>
            <w:tcBorders>
              <w:top w:val="single" w:color="4472C4" w:sz="4" w:space="0"/>
              <w:left w:val="nil"/>
              <w:bottom w:val="nil"/>
              <w:right w:val="nil"/>
            </w:tcBorders>
            <w:shd w:val="clear" w:color="4472C4" w:fill="4472C4"/>
            <w:vAlign w:val="bottom"/>
            <w:hideMark/>
          </w:tcPr>
          <w:p w:rsidRPr="00520D3D" w:rsidR="00520D3D" w:rsidP="00520D3D" w:rsidRDefault="00520D3D" w14:paraId="64DF7E5C" w14:textId="77777777">
            <w:pPr>
              <w:spacing w:after="0" w:line="240" w:lineRule="auto"/>
              <w:jc w:val="right"/>
              <w:rPr>
                <w:rFonts w:ascii="Calibri" w:hAnsi="Calibri" w:eastAsia="Times New Roman" w:cs="Times New Roman"/>
                <w:b/>
                <w:bCs/>
                <w:color w:val="FFFFFF"/>
                <w:sz w:val="18"/>
                <w:szCs w:val="18"/>
                <w:lang w:eastAsia="zh-CN"/>
              </w:rPr>
            </w:pPr>
            <w:r w:rsidRPr="00520D3D">
              <w:rPr>
                <w:rFonts w:ascii="Calibri" w:hAnsi="Calibri" w:eastAsia="Times New Roman" w:cs="Times New Roman"/>
                <w:b/>
                <w:bCs/>
                <w:color w:val="FFFFFF"/>
                <w:sz w:val="18"/>
                <w:szCs w:val="18"/>
                <w:lang w:eastAsia="zh-CN"/>
              </w:rPr>
              <w:t>% variation to 2020</w:t>
            </w:r>
          </w:p>
        </w:tc>
        <w:tc>
          <w:tcPr>
            <w:tcW w:w="3672" w:type="dxa"/>
            <w:tcBorders>
              <w:top w:val="single" w:color="4472C4" w:sz="4" w:space="0"/>
              <w:left w:val="nil"/>
              <w:bottom w:val="nil"/>
              <w:right w:val="single" w:color="4472C4" w:sz="4" w:space="0"/>
            </w:tcBorders>
            <w:shd w:val="clear" w:color="4472C4" w:fill="4472C4"/>
            <w:vAlign w:val="bottom"/>
            <w:hideMark/>
          </w:tcPr>
          <w:p w:rsidRPr="00520D3D" w:rsidR="00520D3D" w:rsidP="00520D3D" w:rsidRDefault="00520D3D" w14:paraId="6CFF753F" w14:textId="77777777">
            <w:pPr>
              <w:spacing w:after="0" w:line="240" w:lineRule="auto"/>
              <w:rPr>
                <w:rFonts w:ascii="Calibri" w:hAnsi="Calibri" w:eastAsia="Times New Roman" w:cs="Times New Roman"/>
                <w:b/>
                <w:bCs/>
                <w:color w:val="FFFFFF"/>
                <w:sz w:val="18"/>
                <w:szCs w:val="18"/>
                <w:lang w:eastAsia="zh-CN"/>
              </w:rPr>
            </w:pPr>
            <w:r w:rsidRPr="00520D3D">
              <w:rPr>
                <w:rFonts w:ascii="Calibri" w:hAnsi="Calibri" w:eastAsia="Times New Roman" w:cs="Times New Roman"/>
                <w:b/>
                <w:bCs/>
                <w:color w:val="FFFFFF"/>
                <w:sz w:val="18"/>
                <w:szCs w:val="18"/>
                <w:lang w:eastAsia="zh-CN"/>
              </w:rPr>
              <w:t xml:space="preserve"> Geographic coverage</w:t>
            </w:r>
            <w:r w:rsidRPr="00520D3D">
              <w:rPr>
                <w:rFonts w:ascii="Calibri" w:hAnsi="Calibri" w:eastAsia="Times New Roman" w:cs="Times New Roman"/>
                <w:b/>
                <w:bCs/>
                <w:color w:val="FFFFFF"/>
                <w:sz w:val="18"/>
                <w:szCs w:val="18"/>
                <w:lang w:eastAsia="zh-CN"/>
              </w:rPr>
              <w:br/>
            </w:r>
            <w:r w:rsidRPr="00520D3D">
              <w:rPr>
                <w:rFonts w:ascii="Calibri" w:hAnsi="Calibri" w:eastAsia="Times New Roman" w:cs="Times New Roman"/>
                <w:b/>
                <w:bCs/>
                <w:color w:val="FFFFFF"/>
                <w:sz w:val="18"/>
                <w:szCs w:val="18"/>
                <w:lang w:eastAsia="zh-CN"/>
              </w:rPr>
              <w:t xml:space="preserve">(main governorates) </w:t>
            </w:r>
          </w:p>
        </w:tc>
      </w:tr>
      <w:tr w:rsidRPr="00520D3D" w:rsidR="00520D3D" w:rsidTr="00520D3D" w14:paraId="5293599D" w14:textId="77777777">
        <w:trPr>
          <w:trHeight w:val="236"/>
        </w:trPr>
        <w:tc>
          <w:tcPr>
            <w:tcW w:w="2700" w:type="dxa"/>
            <w:tcBorders>
              <w:top w:val="single" w:color="4472C4" w:sz="4" w:space="0"/>
              <w:left w:val="single" w:color="4472C4" w:sz="4" w:space="0"/>
              <w:bottom w:val="nil"/>
              <w:right w:val="nil"/>
            </w:tcBorders>
            <w:shd w:val="clear" w:color="auto" w:fill="auto"/>
            <w:vAlign w:val="center"/>
            <w:hideMark/>
          </w:tcPr>
          <w:p w:rsidRPr="00520D3D" w:rsidR="00520D3D" w:rsidP="00520D3D" w:rsidRDefault="00520D3D" w14:paraId="3F13D823"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United Nations Children's Fund</w:t>
            </w:r>
          </w:p>
        </w:tc>
        <w:tc>
          <w:tcPr>
            <w:tcW w:w="1181" w:type="dxa"/>
            <w:tcBorders>
              <w:top w:val="single" w:color="4472C4" w:sz="4" w:space="0"/>
              <w:left w:val="nil"/>
              <w:bottom w:val="nil"/>
              <w:right w:val="nil"/>
            </w:tcBorders>
            <w:shd w:val="clear" w:color="auto" w:fill="auto"/>
            <w:noWrap/>
            <w:vAlign w:val="bottom"/>
            <w:hideMark/>
          </w:tcPr>
          <w:p w:rsidRPr="00520D3D" w:rsidR="00520D3D" w:rsidP="00520D3D" w:rsidRDefault="00520D3D" w14:paraId="77578217"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                56,434,197 </w:t>
            </w:r>
          </w:p>
        </w:tc>
        <w:tc>
          <w:tcPr>
            <w:tcW w:w="1112" w:type="dxa"/>
            <w:tcBorders>
              <w:top w:val="single" w:color="4472C4" w:sz="4" w:space="0"/>
              <w:left w:val="nil"/>
              <w:bottom w:val="nil"/>
              <w:right w:val="nil"/>
            </w:tcBorders>
            <w:shd w:val="clear" w:color="000000" w:fill="C6E0B4"/>
            <w:noWrap/>
            <w:vAlign w:val="bottom"/>
            <w:hideMark/>
          </w:tcPr>
          <w:p w:rsidRPr="00520D3D" w:rsidR="00520D3D" w:rsidP="00520D3D" w:rsidRDefault="00520D3D" w14:paraId="7326A237"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67%</w:t>
            </w:r>
          </w:p>
        </w:tc>
        <w:tc>
          <w:tcPr>
            <w:tcW w:w="1183" w:type="dxa"/>
            <w:tcBorders>
              <w:top w:val="single" w:color="4472C4" w:sz="4" w:space="0"/>
              <w:left w:val="nil"/>
              <w:bottom w:val="nil"/>
              <w:right w:val="nil"/>
            </w:tcBorders>
            <w:shd w:val="clear" w:color="auto" w:fill="auto"/>
            <w:noWrap/>
            <w:vAlign w:val="bottom"/>
            <w:hideMark/>
          </w:tcPr>
          <w:p w:rsidRPr="00520D3D" w:rsidR="00520D3D" w:rsidP="00520D3D" w:rsidRDefault="00520D3D" w14:paraId="2C2A0D8B" w14:textId="77777777">
            <w:pPr>
              <w:spacing w:after="0" w:line="240" w:lineRule="auto"/>
              <w:jc w:val="right"/>
              <w:rPr>
                <w:rFonts w:ascii="Calibri" w:hAnsi="Calibri" w:eastAsia="Times New Roman" w:cs="Times New Roman"/>
                <w:b/>
                <w:bCs/>
                <w:color w:val="000000"/>
                <w:sz w:val="18"/>
                <w:szCs w:val="18"/>
                <w:lang w:eastAsia="zh-CN"/>
              </w:rPr>
            </w:pPr>
            <w:r w:rsidRPr="00520D3D">
              <w:rPr>
                <w:rFonts w:ascii="Calibri" w:hAnsi="Calibri" w:eastAsia="Times New Roman" w:cs="Times New Roman"/>
                <w:b/>
                <w:bCs/>
                <w:color w:val="000000"/>
                <w:sz w:val="18"/>
                <w:szCs w:val="18"/>
                <w:lang w:eastAsia="zh-CN"/>
              </w:rPr>
              <w:t xml:space="preserve">                89,355,208 </w:t>
            </w:r>
          </w:p>
        </w:tc>
        <w:tc>
          <w:tcPr>
            <w:tcW w:w="868" w:type="dxa"/>
            <w:tcBorders>
              <w:top w:val="single" w:color="4472C4" w:sz="4" w:space="0"/>
              <w:left w:val="nil"/>
              <w:bottom w:val="nil"/>
              <w:right w:val="nil"/>
            </w:tcBorders>
            <w:shd w:val="clear" w:color="000000" w:fill="FFCCCC"/>
            <w:noWrap/>
            <w:vAlign w:val="bottom"/>
            <w:hideMark/>
          </w:tcPr>
          <w:p w:rsidRPr="00520D3D" w:rsidR="00520D3D" w:rsidP="00520D3D" w:rsidRDefault="00520D3D" w14:paraId="6456672F"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58%</w:t>
            </w:r>
          </w:p>
        </w:tc>
        <w:tc>
          <w:tcPr>
            <w:tcW w:w="3672" w:type="dxa"/>
            <w:tcBorders>
              <w:top w:val="single" w:color="4472C4" w:sz="4" w:space="0"/>
              <w:left w:val="nil"/>
              <w:bottom w:val="nil"/>
              <w:right w:val="single" w:color="4472C4" w:sz="4" w:space="0"/>
            </w:tcBorders>
            <w:shd w:val="clear" w:color="auto" w:fill="auto"/>
            <w:vAlign w:val="bottom"/>
            <w:hideMark/>
          </w:tcPr>
          <w:p w:rsidRPr="00520D3D" w:rsidR="00520D3D" w:rsidP="00520D3D" w:rsidRDefault="00520D3D" w14:paraId="61C1602C"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All 14 governorates</w:t>
            </w:r>
          </w:p>
        </w:tc>
      </w:tr>
      <w:tr w:rsidRPr="00520D3D" w:rsidR="00520D3D" w:rsidTr="00520D3D" w14:paraId="4FC7F7F5" w14:textId="77777777">
        <w:trPr>
          <w:trHeight w:val="236"/>
        </w:trPr>
        <w:tc>
          <w:tcPr>
            <w:tcW w:w="2700" w:type="dxa"/>
            <w:tcBorders>
              <w:top w:val="single" w:color="4472C4" w:sz="4" w:space="0"/>
              <w:left w:val="single" w:color="4472C4" w:sz="4" w:space="0"/>
              <w:bottom w:val="nil"/>
              <w:right w:val="nil"/>
            </w:tcBorders>
            <w:shd w:val="clear" w:color="auto" w:fill="auto"/>
            <w:vAlign w:val="center"/>
            <w:hideMark/>
          </w:tcPr>
          <w:p w:rsidRPr="00520D3D" w:rsidR="00520D3D" w:rsidP="00520D3D" w:rsidRDefault="00520D3D" w14:paraId="79E1CFDF"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World Food </w:t>
            </w:r>
            <w:proofErr w:type="spellStart"/>
            <w:r w:rsidRPr="00520D3D">
              <w:rPr>
                <w:rFonts w:ascii="Calibri" w:hAnsi="Calibri" w:eastAsia="Times New Roman" w:cs="Times New Roman"/>
                <w:color w:val="000000"/>
                <w:sz w:val="18"/>
                <w:szCs w:val="18"/>
                <w:lang w:eastAsia="zh-CN"/>
              </w:rPr>
              <w:t>Programme</w:t>
            </w:r>
            <w:proofErr w:type="spellEnd"/>
          </w:p>
        </w:tc>
        <w:tc>
          <w:tcPr>
            <w:tcW w:w="1181" w:type="dxa"/>
            <w:tcBorders>
              <w:top w:val="single" w:color="4472C4" w:sz="4" w:space="0"/>
              <w:left w:val="nil"/>
              <w:bottom w:val="nil"/>
              <w:right w:val="nil"/>
            </w:tcBorders>
            <w:shd w:val="clear" w:color="auto" w:fill="auto"/>
            <w:noWrap/>
            <w:vAlign w:val="bottom"/>
            <w:hideMark/>
          </w:tcPr>
          <w:p w:rsidRPr="00520D3D" w:rsidR="00520D3D" w:rsidP="00520D3D" w:rsidRDefault="00520D3D" w14:paraId="66F0972B"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                53,348,694 </w:t>
            </w:r>
          </w:p>
        </w:tc>
        <w:tc>
          <w:tcPr>
            <w:tcW w:w="1112" w:type="dxa"/>
            <w:tcBorders>
              <w:top w:val="single" w:color="4472C4" w:sz="4" w:space="0"/>
              <w:left w:val="nil"/>
              <w:bottom w:val="nil"/>
              <w:right w:val="nil"/>
            </w:tcBorders>
            <w:shd w:val="clear" w:color="000000" w:fill="FFF2CC"/>
            <w:noWrap/>
            <w:vAlign w:val="bottom"/>
            <w:hideMark/>
          </w:tcPr>
          <w:p w:rsidRPr="00520D3D" w:rsidR="00520D3D" w:rsidP="00520D3D" w:rsidRDefault="00520D3D" w14:paraId="36E441E2"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57%</w:t>
            </w:r>
          </w:p>
        </w:tc>
        <w:tc>
          <w:tcPr>
            <w:tcW w:w="1183" w:type="dxa"/>
            <w:tcBorders>
              <w:top w:val="single" w:color="4472C4" w:sz="4" w:space="0"/>
              <w:left w:val="nil"/>
              <w:bottom w:val="nil"/>
              <w:right w:val="nil"/>
            </w:tcBorders>
            <w:shd w:val="clear" w:color="auto" w:fill="auto"/>
            <w:noWrap/>
            <w:vAlign w:val="bottom"/>
            <w:hideMark/>
          </w:tcPr>
          <w:p w:rsidRPr="00520D3D" w:rsidR="00520D3D" w:rsidP="00520D3D" w:rsidRDefault="00520D3D" w14:paraId="6DC05F34" w14:textId="77777777">
            <w:pPr>
              <w:spacing w:after="0" w:line="240" w:lineRule="auto"/>
              <w:jc w:val="right"/>
              <w:rPr>
                <w:rFonts w:ascii="Calibri" w:hAnsi="Calibri" w:eastAsia="Times New Roman" w:cs="Times New Roman"/>
                <w:b/>
                <w:bCs/>
                <w:color w:val="000000"/>
                <w:sz w:val="18"/>
                <w:szCs w:val="18"/>
                <w:lang w:eastAsia="zh-CN"/>
              </w:rPr>
            </w:pPr>
            <w:r w:rsidRPr="00520D3D">
              <w:rPr>
                <w:rFonts w:ascii="Calibri" w:hAnsi="Calibri" w:eastAsia="Times New Roman" w:cs="Times New Roman"/>
                <w:b/>
                <w:bCs/>
                <w:color w:val="000000"/>
                <w:sz w:val="18"/>
                <w:szCs w:val="18"/>
                <w:lang w:eastAsia="zh-CN"/>
              </w:rPr>
              <w:t xml:space="preserve">                67,400,330 </w:t>
            </w:r>
          </w:p>
        </w:tc>
        <w:tc>
          <w:tcPr>
            <w:tcW w:w="868" w:type="dxa"/>
            <w:tcBorders>
              <w:top w:val="single" w:color="4472C4" w:sz="4" w:space="0"/>
              <w:left w:val="nil"/>
              <w:bottom w:val="nil"/>
              <w:right w:val="nil"/>
            </w:tcBorders>
            <w:shd w:val="clear" w:color="000000" w:fill="FFF2CC"/>
            <w:noWrap/>
            <w:vAlign w:val="bottom"/>
            <w:hideMark/>
          </w:tcPr>
          <w:p w:rsidRPr="00520D3D" w:rsidR="00520D3D" w:rsidP="00520D3D" w:rsidRDefault="00520D3D" w14:paraId="08114182"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26%</w:t>
            </w:r>
          </w:p>
        </w:tc>
        <w:tc>
          <w:tcPr>
            <w:tcW w:w="3672" w:type="dxa"/>
            <w:tcBorders>
              <w:top w:val="single" w:color="4472C4" w:sz="4" w:space="0"/>
              <w:left w:val="nil"/>
              <w:bottom w:val="nil"/>
              <w:right w:val="single" w:color="4472C4" w:sz="4" w:space="0"/>
            </w:tcBorders>
            <w:shd w:val="clear" w:color="auto" w:fill="auto"/>
            <w:vAlign w:val="bottom"/>
            <w:hideMark/>
          </w:tcPr>
          <w:p w:rsidRPr="00520D3D" w:rsidR="00520D3D" w:rsidP="00520D3D" w:rsidRDefault="00520D3D" w14:paraId="190AD632"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All 14 governorates</w:t>
            </w:r>
          </w:p>
        </w:tc>
      </w:tr>
      <w:tr w:rsidRPr="00520D3D" w:rsidR="00520D3D" w:rsidTr="00520D3D" w14:paraId="3A166C53" w14:textId="77777777">
        <w:trPr>
          <w:trHeight w:val="404"/>
        </w:trPr>
        <w:tc>
          <w:tcPr>
            <w:tcW w:w="2700" w:type="dxa"/>
            <w:tcBorders>
              <w:top w:val="single" w:color="4472C4" w:sz="4" w:space="0"/>
              <w:left w:val="single" w:color="4472C4" w:sz="4" w:space="0"/>
              <w:bottom w:val="nil"/>
              <w:right w:val="nil"/>
            </w:tcBorders>
            <w:shd w:val="clear" w:color="auto" w:fill="auto"/>
            <w:vAlign w:val="center"/>
            <w:hideMark/>
          </w:tcPr>
          <w:p w:rsidRPr="00520D3D" w:rsidR="00520D3D" w:rsidP="00520D3D" w:rsidRDefault="00520D3D" w14:paraId="458049E5"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United Nations High Commissioner for Refugees</w:t>
            </w:r>
          </w:p>
        </w:tc>
        <w:tc>
          <w:tcPr>
            <w:tcW w:w="1181" w:type="dxa"/>
            <w:tcBorders>
              <w:top w:val="single" w:color="4472C4" w:sz="4" w:space="0"/>
              <w:left w:val="nil"/>
              <w:bottom w:val="nil"/>
              <w:right w:val="nil"/>
            </w:tcBorders>
            <w:shd w:val="clear" w:color="auto" w:fill="auto"/>
            <w:noWrap/>
            <w:vAlign w:val="bottom"/>
            <w:hideMark/>
          </w:tcPr>
          <w:p w:rsidRPr="00520D3D" w:rsidR="00520D3D" w:rsidP="00520D3D" w:rsidRDefault="00520D3D" w14:paraId="659FB280"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                   8,105,727 </w:t>
            </w:r>
          </w:p>
        </w:tc>
        <w:tc>
          <w:tcPr>
            <w:tcW w:w="1112" w:type="dxa"/>
            <w:tcBorders>
              <w:top w:val="single" w:color="4472C4" w:sz="4" w:space="0"/>
              <w:left w:val="nil"/>
              <w:bottom w:val="nil"/>
              <w:right w:val="nil"/>
            </w:tcBorders>
            <w:shd w:val="clear" w:color="000000" w:fill="FFCCCC"/>
            <w:noWrap/>
            <w:vAlign w:val="bottom"/>
            <w:hideMark/>
          </w:tcPr>
          <w:p w:rsidRPr="00520D3D" w:rsidR="00520D3D" w:rsidP="00520D3D" w:rsidRDefault="00520D3D" w14:paraId="3A8FD050"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25%</w:t>
            </w:r>
          </w:p>
        </w:tc>
        <w:tc>
          <w:tcPr>
            <w:tcW w:w="1183" w:type="dxa"/>
            <w:tcBorders>
              <w:top w:val="single" w:color="4472C4" w:sz="4" w:space="0"/>
              <w:left w:val="nil"/>
              <w:bottom w:val="nil"/>
              <w:right w:val="nil"/>
            </w:tcBorders>
            <w:shd w:val="clear" w:color="auto" w:fill="auto"/>
            <w:noWrap/>
            <w:vAlign w:val="bottom"/>
            <w:hideMark/>
          </w:tcPr>
          <w:p w:rsidRPr="00520D3D" w:rsidR="00520D3D" w:rsidP="00520D3D" w:rsidRDefault="00520D3D" w14:paraId="3A37518C" w14:textId="77777777">
            <w:pPr>
              <w:spacing w:after="0" w:line="240" w:lineRule="auto"/>
              <w:jc w:val="right"/>
              <w:rPr>
                <w:rFonts w:ascii="Calibri" w:hAnsi="Calibri" w:eastAsia="Times New Roman" w:cs="Times New Roman"/>
                <w:b/>
                <w:bCs/>
                <w:color w:val="000000"/>
                <w:sz w:val="18"/>
                <w:szCs w:val="18"/>
                <w:lang w:eastAsia="zh-CN"/>
              </w:rPr>
            </w:pPr>
            <w:r w:rsidRPr="00520D3D">
              <w:rPr>
                <w:rFonts w:ascii="Calibri" w:hAnsi="Calibri" w:eastAsia="Times New Roman" w:cs="Times New Roman"/>
                <w:b/>
                <w:bCs/>
                <w:color w:val="000000"/>
                <w:sz w:val="18"/>
                <w:szCs w:val="18"/>
                <w:lang w:eastAsia="zh-CN"/>
              </w:rPr>
              <w:t xml:space="preserve">                14,488,059 </w:t>
            </w:r>
          </w:p>
        </w:tc>
        <w:tc>
          <w:tcPr>
            <w:tcW w:w="868" w:type="dxa"/>
            <w:tcBorders>
              <w:top w:val="single" w:color="4472C4" w:sz="4" w:space="0"/>
              <w:left w:val="nil"/>
              <w:bottom w:val="nil"/>
              <w:right w:val="nil"/>
            </w:tcBorders>
            <w:shd w:val="clear" w:color="000000" w:fill="FFCCCC"/>
            <w:noWrap/>
            <w:vAlign w:val="bottom"/>
            <w:hideMark/>
          </w:tcPr>
          <w:p w:rsidRPr="00520D3D" w:rsidR="00520D3D" w:rsidP="00520D3D" w:rsidRDefault="00520D3D" w14:paraId="77404272"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79%</w:t>
            </w:r>
          </w:p>
        </w:tc>
        <w:tc>
          <w:tcPr>
            <w:tcW w:w="3672" w:type="dxa"/>
            <w:tcBorders>
              <w:top w:val="single" w:color="4472C4" w:sz="4" w:space="0"/>
              <w:left w:val="nil"/>
              <w:bottom w:val="nil"/>
              <w:right w:val="single" w:color="4472C4" w:sz="4" w:space="0"/>
            </w:tcBorders>
            <w:shd w:val="clear" w:color="auto" w:fill="auto"/>
            <w:vAlign w:val="bottom"/>
            <w:hideMark/>
          </w:tcPr>
          <w:p w:rsidRPr="00520D3D" w:rsidR="00520D3D" w:rsidP="00520D3D" w:rsidRDefault="00520D3D" w14:paraId="77420067" w14:textId="77777777">
            <w:pPr>
              <w:spacing w:after="0" w:line="240" w:lineRule="auto"/>
              <w:rPr>
                <w:rFonts w:ascii="Calibri" w:hAnsi="Calibri" w:eastAsia="Times New Roman" w:cs="Times New Roman"/>
                <w:color w:val="000000"/>
                <w:sz w:val="18"/>
                <w:szCs w:val="18"/>
                <w:lang w:eastAsia="zh-CN"/>
              </w:rPr>
            </w:pPr>
            <w:proofErr w:type="spellStart"/>
            <w:r w:rsidRPr="00520D3D">
              <w:rPr>
                <w:rFonts w:ascii="Calibri" w:hAnsi="Calibri" w:eastAsia="Times New Roman" w:cs="Times New Roman"/>
                <w:color w:val="000000"/>
                <w:sz w:val="18"/>
                <w:szCs w:val="18"/>
                <w:lang w:eastAsia="zh-CN"/>
              </w:rPr>
              <w:t>AleppoAr-</w:t>
            </w:r>
            <w:proofErr w:type="gramStart"/>
            <w:r w:rsidRPr="00520D3D">
              <w:rPr>
                <w:rFonts w:ascii="Calibri" w:hAnsi="Calibri" w:eastAsia="Times New Roman" w:cs="Times New Roman"/>
                <w:color w:val="000000"/>
                <w:sz w:val="18"/>
                <w:szCs w:val="18"/>
                <w:lang w:eastAsia="zh-CN"/>
              </w:rPr>
              <w:t>Raqqa;Dar'a</w:t>
            </w:r>
            <w:proofErr w:type="gramEnd"/>
            <w:r w:rsidRPr="00520D3D">
              <w:rPr>
                <w:rFonts w:ascii="Calibri" w:hAnsi="Calibri" w:eastAsia="Times New Roman" w:cs="Times New Roman"/>
                <w:color w:val="000000"/>
                <w:sz w:val="18"/>
                <w:szCs w:val="18"/>
                <w:lang w:eastAsia="zh-CN"/>
              </w:rPr>
              <w:t>;Deir-ez-Zor;Hama;HomsLattakiaRural</w:t>
            </w:r>
            <w:proofErr w:type="spellEnd"/>
            <w:r w:rsidRPr="00520D3D">
              <w:rPr>
                <w:rFonts w:ascii="Calibri" w:hAnsi="Calibri" w:eastAsia="Times New Roman" w:cs="Times New Roman"/>
                <w:color w:val="000000"/>
                <w:sz w:val="18"/>
                <w:szCs w:val="18"/>
                <w:lang w:eastAsia="zh-CN"/>
              </w:rPr>
              <w:t xml:space="preserve"> Damascus;</w:t>
            </w:r>
          </w:p>
        </w:tc>
      </w:tr>
      <w:tr w:rsidRPr="00520D3D" w:rsidR="00520D3D" w:rsidTr="00520D3D" w14:paraId="6868BE43" w14:textId="77777777">
        <w:trPr>
          <w:trHeight w:val="394"/>
        </w:trPr>
        <w:tc>
          <w:tcPr>
            <w:tcW w:w="2700" w:type="dxa"/>
            <w:tcBorders>
              <w:top w:val="single" w:color="4472C4" w:sz="4" w:space="0"/>
              <w:left w:val="single" w:color="4472C4" w:sz="4" w:space="0"/>
              <w:bottom w:val="nil"/>
              <w:right w:val="nil"/>
            </w:tcBorders>
            <w:shd w:val="clear" w:color="auto" w:fill="auto"/>
            <w:vAlign w:val="center"/>
            <w:hideMark/>
          </w:tcPr>
          <w:p w:rsidRPr="00520D3D" w:rsidR="00520D3D" w:rsidP="00520D3D" w:rsidRDefault="00520D3D" w14:paraId="09467E34"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United Nations Relief and Works Agency for Palestine Refugees in the Near East</w:t>
            </w:r>
          </w:p>
        </w:tc>
        <w:tc>
          <w:tcPr>
            <w:tcW w:w="1181" w:type="dxa"/>
            <w:tcBorders>
              <w:top w:val="single" w:color="4472C4" w:sz="4" w:space="0"/>
              <w:left w:val="nil"/>
              <w:bottom w:val="nil"/>
              <w:right w:val="nil"/>
            </w:tcBorders>
            <w:shd w:val="clear" w:color="auto" w:fill="auto"/>
            <w:noWrap/>
            <w:vAlign w:val="bottom"/>
            <w:hideMark/>
          </w:tcPr>
          <w:p w:rsidRPr="00520D3D" w:rsidR="00520D3D" w:rsidP="00520D3D" w:rsidRDefault="00520D3D" w14:paraId="70644064"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                31,438,169 </w:t>
            </w:r>
          </w:p>
        </w:tc>
        <w:tc>
          <w:tcPr>
            <w:tcW w:w="1112" w:type="dxa"/>
            <w:tcBorders>
              <w:top w:val="single" w:color="4472C4" w:sz="4" w:space="0"/>
              <w:left w:val="nil"/>
              <w:bottom w:val="nil"/>
              <w:right w:val="nil"/>
            </w:tcBorders>
            <w:shd w:val="clear" w:color="000000" w:fill="FFCCCC"/>
            <w:noWrap/>
            <w:vAlign w:val="bottom"/>
            <w:hideMark/>
          </w:tcPr>
          <w:p w:rsidRPr="00520D3D" w:rsidR="00520D3D" w:rsidP="00520D3D" w:rsidRDefault="00520D3D" w14:paraId="510742AD"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7%</w:t>
            </w:r>
          </w:p>
        </w:tc>
        <w:tc>
          <w:tcPr>
            <w:tcW w:w="1183" w:type="dxa"/>
            <w:tcBorders>
              <w:top w:val="single" w:color="4472C4" w:sz="4" w:space="0"/>
              <w:left w:val="nil"/>
              <w:bottom w:val="nil"/>
              <w:right w:val="nil"/>
            </w:tcBorders>
            <w:shd w:val="clear" w:color="auto" w:fill="auto"/>
            <w:noWrap/>
            <w:vAlign w:val="bottom"/>
            <w:hideMark/>
          </w:tcPr>
          <w:p w:rsidRPr="00520D3D" w:rsidR="00520D3D" w:rsidP="00520D3D" w:rsidRDefault="00520D3D" w14:paraId="1E95B48D" w14:textId="77777777">
            <w:pPr>
              <w:spacing w:after="0" w:line="240" w:lineRule="auto"/>
              <w:jc w:val="right"/>
              <w:rPr>
                <w:rFonts w:ascii="Calibri" w:hAnsi="Calibri" w:eastAsia="Times New Roman" w:cs="Times New Roman"/>
                <w:b/>
                <w:bCs/>
                <w:color w:val="000000"/>
                <w:sz w:val="18"/>
                <w:szCs w:val="18"/>
                <w:lang w:eastAsia="zh-CN"/>
              </w:rPr>
            </w:pPr>
            <w:r w:rsidRPr="00520D3D">
              <w:rPr>
                <w:rFonts w:ascii="Calibri" w:hAnsi="Calibri" w:eastAsia="Times New Roman" w:cs="Times New Roman"/>
                <w:b/>
                <w:bCs/>
                <w:color w:val="000000"/>
                <w:sz w:val="18"/>
                <w:szCs w:val="18"/>
                <w:lang w:eastAsia="zh-CN"/>
              </w:rPr>
              <w:t xml:space="preserve">                12,797,026 </w:t>
            </w:r>
          </w:p>
        </w:tc>
        <w:tc>
          <w:tcPr>
            <w:tcW w:w="868" w:type="dxa"/>
            <w:tcBorders>
              <w:top w:val="single" w:color="4472C4" w:sz="4" w:space="0"/>
              <w:left w:val="nil"/>
              <w:bottom w:val="nil"/>
              <w:right w:val="nil"/>
            </w:tcBorders>
            <w:shd w:val="clear" w:color="000000" w:fill="C6E0B4"/>
            <w:noWrap/>
            <w:vAlign w:val="bottom"/>
            <w:hideMark/>
          </w:tcPr>
          <w:p w:rsidRPr="00520D3D" w:rsidR="00520D3D" w:rsidP="00520D3D" w:rsidRDefault="00520D3D" w14:paraId="703C468F"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-59%</w:t>
            </w:r>
          </w:p>
        </w:tc>
        <w:tc>
          <w:tcPr>
            <w:tcW w:w="3672" w:type="dxa"/>
            <w:tcBorders>
              <w:top w:val="single" w:color="4472C4" w:sz="4" w:space="0"/>
              <w:left w:val="nil"/>
              <w:bottom w:val="nil"/>
              <w:right w:val="single" w:color="4472C4" w:sz="4" w:space="0"/>
            </w:tcBorders>
            <w:shd w:val="clear" w:color="auto" w:fill="auto"/>
            <w:vAlign w:val="bottom"/>
            <w:hideMark/>
          </w:tcPr>
          <w:p w:rsidRPr="00520D3D" w:rsidR="00520D3D" w:rsidP="00520D3D" w:rsidRDefault="00520D3D" w14:paraId="536BC4C6"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20D3D">
              <w:rPr>
                <w:rFonts w:ascii="Calibri" w:hAnsi="Calibri" w:eastAsia="Times New Roman" w:cs="Times New Roman"/>
                <w:color w:val="000000"/>
                <w:sz w:val="18"/>
                <w:szCs w:val="18"/>
                <w:lang w:eastAsia="zh-CN"/>
              </w:rPr>
              <w:t>AleppoDamascus;Dar'aHama</w:t>
            </w:r>
            <w:proofErr w:type="gramEnd"/>
            <w:r w:rsidRPr="00520D3D">
              <w:rPr>
                <w:rFonts w:ascii="Calibri" w:hAnsi="Calibri" w:eastAsia="Times New Roman" w:cs="Times New Roman"/>
                <w:color w:val="000000"/>
                <w:sz w:val="18"/>
                <w:szCs w:val="18"/>
                <w:lang w:eastAsia="zh-CN"/>
              </w:rPr>
              <w:t>;HomsLattakiaRural</w:t>
            </w:r>
            <w:proofErr w:type="spellEnd"/>
            <w:r w:rsidRPr="00520D3D">
              <w:rPr>
                <w:rFonts w:ascii="Calibri" w:hAnsi="Calibri" w:eastAsia="Times New Roman" w:cs="Times New Roman"/>
                <w:color w:val="000000"/>
                <w:sz w:val="18"/>
                <w:szCs w:val="18"/>
                <w:lang w:eastAsia="zh-CN"/>
              </w:rPr>
              <w:t xml:space="preserve"> Damascus;</w:t>
            </w:r>
          </w:p>
        </w:tc>
      </w:tr>
      <w:tr w:rsidRPr="00520D3D" w:rsidR="00520D3D" w:rsidTr="00520D3D" w14:paraId="4307BCF4" w14:textId="77777777">
        <w:trPr>
          <w:trHeight w:val="236"/>
        </w:trPr>
        <w:tc>
          <w:tcPr>
            <w:tcW w:w="2700" w:type="dxa"/>
            <w:tcBorders>
              <w:top w:val="single" w:color="4472C4" w:sz="4" w:space="0"/>
              <w:left w:val="single" w:color="4472C4" w:sz="4" w:space="0"/>
              <w:bottom w:val="nil"/>
              <w:right w:val="nil"/>
            </w:tcBorders>
            <w:shd w:val="clear" w:color="auto" w:fill="auto"/>
            <w:vAlign w:val="center"/>
            <w:hideMark/>
          </w:tcPr>
          <w:p w:rsidRPr="00520D3D" w:rsidR="00520D3D" w:rsidP="00520D3D" w:rsidRDefault="00520D3D" w14:paraId="1558047B"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Save the Children</w:t>
            </w:r>
          </w:p>
        </w:tc>
        <w:tc>
          <w:tcPr>
            <w:tcW w:w="1181" w:type="dxa"/>
            <w:tcBorders>
              <w:top w:val="single" w:color="4472C4" w:sz="4" w:space="0"/>
              <w:left w:val="nil"/>
              <w:bottom w:val="nil"/>
              <w:right w:val="nil"/>
            </w:tcBorders>
            <w:shd w:val="clear" w:color="auto" w:fill="auto"/>
            <w:noWrap/>
            <w:vAlign w:val="bottom"/>
            <w:hideMark/>
          </w:tcPr>
          <w:p w:rsidRPr="00520D3D" w:rsidR="00520D3D" w:rsidP="00520D3D" w:rsidRDefault="00520D3D" w14:paraId="6CB0AAFD"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                10,856,136 </w:t>
            </w:r>
          </w:p>
        </w:tc>
        <w:tc>
          <w:tcPr>
            <w:tcW w:w="1112" w:type="dxa"/>
            <w:tcBorders>
              <w:top w:val="single" w:color="4472C4" w:sz="4" w:space="0"/>
              <w:left w:val="nil"/>
              <w:bottom w:val="nil"/>
              <w:right w:val="nil"/>
            </w:tcBorders>
            <w:shd w:val="clear" w:color="000000" w:fill="C6E0B4"/>
            <w:noWrap/>
            <w:vAlign w:val="bottom"/>
            <w:hideMark/>
          </w:tcPr>
          <w:p w:rsidRPr="00520D3D" w:rsidR="00520D3D" w:rsidP="00520D3D" w:rsidRDefault="00520D3D" w14:paraId="509C909D"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66%</w:t>
            </w:r>
          </w:p>
        </w:tc>
        <w:tc>
          <w:tcPr>
            <w:tcW w:w="1183" w:type="dxa"/>
            <w:tcBorders>
              <w:top w:val="single" w:color="4472C4" w:sz="4" w:space="0"/>
              <w:left w:val="nil"/>
              <w:bottom w:val="nil"/>
              <w:right w:val="nil"/>
            </w:tcBorders>
            <w:shd w:val="clear" w:color="auto" w:fill="auto"/>
            <w:noWrap/>
            <w:vAlign w:val="bottom"/>
            <w:hideMark/>
          </w:tcPr>
          <w:p w:rsidRPr="00520D3D" w:rsidR="00520D3D" w:rsidP="00520D3D" w:rsidRDefault="00520D3D" w14:paraId="2164B5AC" w14:textId="77777777">
            <w:pPr>
              <w:spacing w:after="0" w:line="240" w:lineRule="auto"/>
              <w:jc w:val="right"/>
              <w:rPr>
                <w:rFonts w:ascii="Calibri" w:hAnsi="Calibri" w:eastAsia="Times New Roman" w:cs="Times New Roman"/>
                <w:b/>
                <w:bCs/>
                <w:color w:val="000000"/>
                <w:sz w:val="18"/>
                <w:szCs w:val="18"/>
                <w:lang w:eastAsia="zh-CN"/>
              </w:rPr>
            </w:pPr>
            <w:r w:rsidRPr="00520D3D">
              <w:rPr>
                <w:rFonts w:ascii="Calibri" w:hAnsi="Calibri" w:eastAsia="Times New Roman" w:cs="Times New Roman"/>
                <w:b/>
                <w:bCs/>
                <w:color w:val="000000"/>
                <w:sz w:val="18"/>
                <w:szCs w:val="18"/>
                <w:lang w:eastAsia="zh-CN"/>
              </w:rPr>
              <w:t xml:space="preserve">                10,000,000 </w:t>
            </w:r>
          </w:p>
        </w:tc>
        <w:tc>
          <w:tcPr>
            <w:tcW w:w="868" w:type="dxa"/>
            <w:tcBorders>
              <w:top w:val="single" w:color="4472C4" w:sz="4" w:space="0"/>
              <w:left w:val="nil"/>
              <w:bottom w:val="nil"/>
              <w:right w:val="nil"/>
            </w:tcBorders>
            <w:shd w:val="clear" w:color="000000" w:fill="C6E0B4"/>
            <w:noWrap/>
            <w:vAlign w:val="bottom"/>
            <w:hideMark/>
          </w:tcPr>
          <w:p w:rsidRPr="00520D3D" w:rsidR="00520D3D" w:rsidP="00520D3D" w:rsidRDefault="00520D3D" w14:paraId="2F9A4AC5"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-8%</w:t>
            </w:r>
          </w:p>
        </w:tc>
        <w:tc>
          <w:tcPr>
            <w:tcW w:w="3672" w:type="dxa"/>
            <w:tcBorders>
              <w:top w:val="single" w:color="4472C4" w:sz="4" w:space="0"/>
              <w:left w:val="nil"/>
              <w:bottom w:val="nil"/>
              <w:right w:val="single" w:color="4472C4" w:sz="4" w:space="0"/>
            </w:tcBorders>
            <w:shd w:val="clear" w:color="auto" w:fill="auto"/>
            <w:vAlign w:val="bottom"/>
            <w:hideMark/>
          </w:tcPr>
          <w:p w:rsidRPr="00520D3D" w:rsidR="00520D3D" w:rsidP="00520D3D" w:rsidRDefault="00520D3D" w14:paraId="4D3345C0"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20D3D">
              <w:rPr>
                <w:rFonts w:ascii="Calibri" w:hAnsi="Calibri" w:eastAsia="Times New Roman" w:cs="Times New Roman"/>
                <w:color w:val="000000"/>
                <w:sz w:val="18"/>
                <w:szCs w:val="18"/>
                <w:lang w:eastAsia="zh-CN"/>
              </w:rPr>
              <w:t>Aleppo;Al</w:t>
            </w:r>
            <w:proofErr w:type="gramEnd"/>
            <w:r w:rsidRPr="00520D3D">
              <w:rPr>
                <w:rFonts w:ascii="Calibri" w:hAnsi="Calibri" w:eastAsia="Times New Roman" w:cs="Times New Roman"/>
                <w:color w:val="000000"/>
                <w:sz w:val="18"/>
                <w:szCs w:val="18"/>
                <w:lang w:eastAsia="zh-CN"/>
              </w:rPr>
              <w:t>-Hasakeh;Ar-Raqqa;Idleb</w:t>
            </w:r>
            <w:proofErr w:type="spellEnd"/>
          </w:p>
        </w:tc>
      </w:tr>
      <w:tr w:rsidRPr="00520D3D" w:rsidR="00520D3D" w:rsidTr="00520D3D" w14:paraId="17F7074F" w14:textId="77777777">
        <w:trPr>
          <w:trHeight w:val="236"/>
        </w:trPr>
        <w:tc>
          <w:tcPr>
            <w:tcW w:w="2700" w:type="dxa"/>
            <w:tcBorders>
              <w:top w:val="single" w:color="4472C4" w:sz="4" w:space="0"/>
              <w:left w:val="single" w:color="4472C4" w:sz="4" w:space="0"/>
              <w:bottom w:val="nil"/>
              <w:right w:val="nil"/>
            </w:tcBorders>
            <w:shd w:val="clear" w:color="auto" w:fill="auto"/>
            <w:vAlign w:val="center"/>
            <w:hideMark/>
          </w:tcPr>
          <w:p w:rsidRPr="00520D3D" w:rsidR="00520D3D" w:rsidP="00520D3D" w:rsidRDefault="00520D3D" w14:paraId="1AE8AD31"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Norwegian Refugee Council</w:t>
            </w:r>
          </w:p>
        </w:tc>
        <w:tc>
          <w:tcPr>
            <w:tcW w:w="1181" w:type="dxa"/>
            <w:tcBorders>
              <w:top w:val="single" w:color="4472C4" w:sz="4" w:space="0"/>
              <w:left w:val="nil"/>
              <w:bottom w:val="nil"/>
              <w:right w:val="nil"/>
            </w:tcBorders>
            <w:shd w:val="clear" w:color="auto" w:fill="auto"/>
            <w:noWrap/>
            <w:vAlign w:val="bottom"/>
            <w:hideMark/>
          </w:tcPr>
          <w:p w:rsidRPr="00520D3D" w:rsidR="00520D3D" w:rsidP="00520D3D" w:rsidRDefault="00520D3D" w14:paraId="6B48EE64"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                13,618,407 </w:t>
            </w:r>
          </w:p>
        </w:tc>
        <w:tc>
          <w:tcPr>
            <w:tcW w:w="1112" w:type="dxa"/>
            <w:tcBorders>
              <w:top w:val="single" w:color="4472C4" w:sz="4" w:space="0"/>
              <w:left w:val="nil"/>
              <w:bottom w:val="nil"/>
              <w:right w:val="nil"/>
            </w:tcBorders>
            <w:shd w:val="clear" w:color="000000" w:fill="C6E0B4"/>
            <w:noWrap/>
            <w:vAlign w:val="bottom"/>
            <w:hideMark/>
          </w:tcPr>
          <w:p w:rsidRPr="00520D3D" w:rsidR="00520D3D" w:rsidP="00520D3D" w:rsidRDefault="00520D3D" w14:paraId="67EE5801"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79%</w:t>
            </w:r>
          </w:p>
        </w:tc>
        <w:tc>
          <w:tcPr>
            <w:tcW w:w="1183" w:type="dxa"/>
            <w:tcBorders>
              <w:top w:val="single" w:color="4472C4" w:sz="4" w:space="0"/>
              <w:left w:val="nil"/>
              <w:bottom w:val="nil"/>
              <w:right w:val="nil"/>
            </w:tcBorders>
            <w:shd w:val="clear" w:color="auto" w:fill="auto"/>
            <w:noWrap/>
            <w:vAlign w:val="bottom"/>
            <w:hideMark/>
          </w:tcPr>
          <w:p w:rsidRPr="00520D3D" w:rsidR="00520D3D" w:rsidP="00520D3D" w:rsidRDefault="00520D3D" w14:paraId="3DB30AEF" w14:textId="77777777">
            <w:pPr>
              <w:spacing w:after="0" w:line="240" w:lineRule="auto"/>
              <w:jc w:val="right"/>
              <w:rPr>
                <w:rFonts w:ascii="Calibri" w:hAnsi="Calibri" w:eastAsia="Times New Roman" w:cs="Times New Roman"/>
                <w:b/>
                <w:bCs/>
                <w:color w:val="000000"/>
                <w:sz w:val="18"/>
                <w:szCs w:val="18"/>
                <w:lang w:eastAsia="zh-CN"/>
              </w:rPr>
            </w:pPr>
            <w:r w:rsidRPr="00520D3D">
              <w:rPr>
                <w:rFonts w:ascii="Calibri" w:hAnsi="Calibri" w:eastAsia="Times New Roman" w:cs="Times New Roman"/>
                <w:b/>
                <w:bCs/>
                <w:color w:val="000000"/>
                <w:sz w:val="18"/>
                <w:szCs w:val="18"/>
                <w:lang w:eastAsia="zh-CN"/>
              </w:rPr>
              <w:t xml:space="preserve">                   9,050,314 </w:t>
            </w:r>
          </w:p>
        </w:tc>
        <w:tc>
          <w:tcPr>
            <w:tcW w:w="868" w:type="dxa"/>
            <w:tcBorders>
              <w:top w:val="single" w:color="4472C4" w:sz="4" w:space="0"/>
              <w:left w:val="nil"/>
              <w:bottom w:val="nil"/>
              <w:right w:val="nil"/>
            </w:tcBorders>
            <w:shd w:val="clear" w:color="000000" w:fill="C6E0B4"/>
            <w:noWrap/>
            <w:vAlign w:val="bottom"/>
            <w:hideMark/>
          </w:tcPr>
          <w:p w:rsidRPr="00520D3D" w:rsidR="00520D3D" w:rsidP="00520D3D" w:rsidRDefault="00520D3D" w14:paraId="18B7543C"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-34%</w:t>
            </w:r>
          </w:p>
        </w:tc>
        <w:tc>
          <w:tcPr>
            <w:tcW w:w="3672" w:type="dxa"/>
            <w:tcBorders>
              <w:top w:val="single" w:color="4472C4" w:sz="4" w:space="0"/>
              <w:left w:val="nil"/>
              <w:bottom w:val="nil"/>
              <w:right w:val="single" w:color="4472C4" w:sz="4" w:space="0"/>
            </w:tcBorders>
            <w:shd w:val="clear" w:color="auto" w:fill="auto"/>
            <w:vAlign w:val="bottom"/>
            <w:hideMark/>
          </w:tcPr>
          <w:p w:rsidRPr="00520D3D" w:rsidR="00520D3D" w:rsidP="00520D3D" w:rsidRDefault="00520D3D" w14:paraId="4C273A5E"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w:t>
            </w:r>
          </w:p>
        </w:tc>
      </w:tr>
      <w:tr w:rsidRPr="00520D3D" w:rsidR="00520D3D" w:rsidTr="00520D3D" w14:paraId="5FA95FB3" w14:textId="77777777">
        <w:trPr>
          <w:trHeight w:val="236"/>
        </w:trPr>
        <w:tc>
          <w:tcPr>
            <w:tcW w:w="2700" w:type="dxa"/>
            <w:tcBorders>
              <w:top w:val="single" w:color="4472C4" w:sz="4" w:space="0"/>
              <w:left w:val="single" w:color="4472C4" w:sz="4" w:space="0"/>
              <w:bottom w:val="nil"/>
              <w:right w:val="nil"/>
            </w:tcBorders>
            <w:shd w:val="clear" w:color="auto" w:fill="auto"/>
            <w:vAlign w:val="center"/>
            <w:hideMark/>
          </w:tcPr>
          <w:p w:rsidRPr="00520D3D" w:rsidR="00520D3D" w:rsidP="00520D3D" w:rsidRDefault="00520D3D" w14:paraId="7AE02F66"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Qatar Charity</w:t>
            </w:r>
          </w:p>
        </w:tc>
        <w:tc>
          <w:tcPr>
            <w:tcW w:w="1181" w:type="dxa"/>
            <w:tcBorders>
              <w:top w:val="single" w:color="4472C4" w:sz="4" w:space="0"/>
              <w:left w:val="nil"/>
              <w:bottom w:val="nil"/>
              <w:right w:val="nil"/>
            </w:tcBorders>
            <w:shd w:val="clear" w:color="auto" w:fill="auto"/>
            <w:noWrap/>
            <w:vAlign w:val="bottom"/>
            <w:hideMark/>
          </w:tcPr>
          <w:p w:rsidRPr="00520D3D" w:rsidR="00520D3D" w:rsidP="00520D3D" w:rsidRDefault="00520D3D" w14:paraId="058743C2"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                   7,055,000 </w:t>
            </w:r>
          </w:p>
        </w:tc>
        <w:tc>
          <w:tcPr>
            <w:tcW w:w="1112" w:type="dxa"/>
            <w:tcBorders>
              <w:top w:val="single" w:color="4472C4" w:sz="4" w:space="0"/>
              <w:left w:val="nil"/>
              <w:bottom w:val="nil"/>
              <w:right w:val="nil"/>
            </w:tcBorders>
            <w:shd w:val="clear" w:color="000000" w:fill="FFCCCC"/>
            <w:noWrap/>
            <w:vAlign w:val="bottom"/>
            <w:hideMark/>
          </w:tcPr>
          <w:p w:rsidRPr="00520D3D" w:rsidR="00520D3D" w:rsidP="00520D3D" w:rsidRDefault="00520D3D" w14:paraId="313F2BF0"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0%</w:t>
            </w:r>
          </w:p>
        </w:tc>
        <w:tc>
          <w:tcPr>
            <w:tcW w:w="1183" w:type="dxa"/>
            <w:tcBorders>
              <w:top w:val="single" w:color="4472C4" w:sz="4" w:space="0"/>
              <w:left w:val="nil"/>
              <w:bottom w:val="nil"/>
              <w:right w:val="nil"/>
            </w:tcBorders>
            <w:shd w:val="clear" w:color="auto" w:fill="auto"/>
            <w:noWrap/>
            <w:vAlign w:val="bottom"/>
            <w:hideMark/>
          </w:tcPr>
          <w:p w:rsidRPr="00520D3D" w:rsidR="00520D3D" w:rsidP="00520D3D" w:rsidRDefault="00520D3D" w14:paraId="5F857472" w14:textId="77777777">
            <w:pPr>
              <w:spacing w:after="0" w:line="240" w:lineRule="auto"/>
              <w:jc w:val="right"/>
              <w:rPr>
                <w:rFonts w:ascii="Calibri" w:hAnsi="Calibri" w:eastAsia="Times New Roman" w:cs="Times New Roman"/>
                <w:b/>
                <w:bCs/>
                <w:color w:val="000000"/>
                <w:sz w:val="18"/>
                <w:szCs w:val="18"/>
                <w:lang w:eastAsia="zh-CN"/>
              </w:rPr>
            </w:pPr>
            <w:r w:rsidRPr="00520D3D">
              <w:rPr>
                <w:rFonts w:ascii="Calibri" w:hAnsi="Calibri" w:eastAsia="Times New Roman" w:cs="Times New Roman"/>
                <w:b/>
                <w:bCs/>
                <w:color w:val="000000"/>
                <w:sz w:val="18"/>
                <w:szCs w:val="18"/>
                <w:lang w:eastAsia="zh-CN"/>
              </w:rPr>
              <w:t xml:space="preserve">                   7,908,470 </w:t>
            </w:r>
          </w:p>
        </w:tc>
        <w:tc>
          <w:tcPr>
            <w:tcW w:w="868" w:type="dxa"/>
            <w:tcBorders>
              <w:top w:val="single" w:color="4472C4" w:sz="4" w:space="0"/>
              <w:left w:val="nil"/>
              <w:bottom w:val="nil"/>
              <w:right w:val="nil"/>
            </w:tcBorders>
            <w:shd w:val="clear" w:color="000000" w:fill="C6E0B4"/>
            <w:noWrap/>
            <w:vAlign w:val="bottom"/>
            <w:hideMark/>
          </w:tcPr>
          <w:p w:rsidRPr="00520D3D" w:rsidR="00520D3D" w:rsidP="00520D3D" w:rsidRDefault="00520D3D" w14:paraId="1DD12696"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12%</w:t>
            </w:r>
          </w:p>
        </w:tc>
        <w:tc>
          <w:tcPr>
            <w:tcW w:w="3672" w:type="dxa"/>
            <w:tcBorders>
              <w:top w:val="single" w:color="4472C4" w:sz="4" w:space="0"/>
              <w:left w:val="nil"/>
              <w:bottom w:val="nil"/>
              <w:right w:val="single" w:color="4472C4" w:sz="4" w:space="0"/>
            </w:tcBorders>
            <w:shd w:val="clear" w:color="auto" w:fill="auto"/>
            <w:vAlign w:val="bottom"/>
            <w:hideMark/>
          </w:tcPr>
          <w:p w:rsidRPr="00520D3D" w:rsidR="00520D3D" w:rsidP="00520D3D" w:rsidRDefault="00520D3D" w14:paraId="7BC214EA"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20D3D">
              <w:rPr>
                <w:rFonts w:ascii="Calibri" w:hAnsi="Calibri" w:eastAsia="Times New Roman" w:cs="Times New Roman"/>
                <w:color w:val="000000"/>
                <w:sz w:val="18"/>
                <w:szCs w:val="18"/>
                <w:lang w:eastAsia="zh-CN"/>
              </w:rPr>
              <w:t>Aleppo;Al</w:t>
            </w:r>
            <w:proofErr w:type="gramEnd"/>
            <w:r w:rsidRPr="00520D3D">
              <w:rPr>
                <w:rFonts w:ascii="Calibri" w:hAnsi="Calibri" w:eastAsia="Times New Roman" w:cs="Times New Roman"/>
                <w:color w:val="000000"/>
                <w:sz w:val="18"/>
                <w:szCs w:val="18"/>
                <w:lang w:eastAsia="zh-CN"/>
              </w:rPr>
              <w:t>-Hasakeh;Ar-Raqqa;Idleb</w:t>
            </w:r>
            <w:proofErr w:type="spellEnd"/>
          </w:p>
        </w:tc>
      </w:tr>
      <w:tr w:rsidRPr="00520D3D" w:rsidR="00520D3D" w:rsidTr="00520D3D" w14:paraId="2695A8BF" w14:textId="77777777">
        <w:trPr>
          <w:trHeight w:val="236"/>
        </w:trPr>
        <w:tc>
          <w:tcPr>
            <w:tcW w:w="2700" w:type="dxa"/>
            <w:tcBorders>
              <w:top w:val="single" w:color="4472C4" w:sz="4" w:space="0"/>
              <w:left w:val="single" w:color="4472C4" w:sz="4" w:space="0"/>
              <w:bottom w:val="nil"/>
              <w:right w:val="nil"/>
            </w:tcBorders>
            <w:shd w:val="clear" w:color="auto" w:fill="auto"/>
            <w:vAlign w:val="center"/>
            <w:hideMark/>
          </w:tcPr>
          <w:p w:rsidRPr="00520D3D" w:rsidR="00520D3D" w:rsidP="00520D3D" w:rsidRDefault="00520D3D" w14:paraId="7FC93841"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Terre des Hommes - Italy</w:t>
            </w:r>
          </w:p>
        </w:tc>
        <w:tc>
          <w:tcPr>
            <w:tcW w:w="1181" w:type="dxa"/>
            <w:tcBorders>
              <w:top w:val="single" w:color="4472C4" w:sz="4" w:space="0"/>
              <w:left w:val="nil"/>
              <w:bottom w:val="nil"/>
              <w:right w:val="nil"/>
            </w:tcBorders>
            <w:shd w:val="clear" w:color="auto" w:fill="auto"/>
            <w:noWrap/>
            <w:vAlign w:val="bottom"/>
            <w:hideMark/>
          </w:tcPr>
          <w:p w:rsidRPr="00520D3D" w:rsidR="00520D3D" w:rsidP="00520D3D" w:rsidRDefault="00520D3D" w14:paraId="65801AD5"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                   1,632,152 </w:t>
            </w:r>
          </w:p>
        </w:tc>
        <w:tc>
          <w:tcPr>
            <w:tcW w:w="1112" w:type="dxa"/>
            <w:tcBorders>
              <w:top w:val="single" w:color="4472C4" w:sz="4" w:space="0"/>
              <w:left w:val="nil"/>
              <w:bottom w:val="nil"/>
              <w:right w:val="nil"/>
            </w:tcBorders>
            <w:shd w:val="clear" w:color="000000" w:fill="FFCCCC"/>
            <w:noWrap/>
            <w:vAlign w:val="bottom"/>
            <w:hideMark/>
          </w:tcPr>
          <w:p w:rsidRPr="00520D3D" w:rsidR="00520D3D" w:rsidP="00520D3D" w:rsidRDefault="00520D3D" w14:paraId="7E925C14"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0%</w:t>
            </w:r>
          </w:p>
        </w:tc>
        <w:tc>
          <w:tcPr>
            <w:tcW w:w="1183" w:type="dxa"/>
            <w:tcBorders>
              <w:top w:val="single" w:color="4472C4" w:sz="4" w:space="0"/>
              <w:left w:val="nil"/>
              <w:bottom w:val="nil"/>
              <w:right w:val="nil"/>
            </w:tcBorders>
            <w:shd w:val="clear" w:color="auto" w:fill="auto"/>
            <w:noWrap/>
            <w:vAlign w:val="bottom"/>
            <w:hideMark/>
          </w:tcPr>
          <w:p w:rsidRPr="00520D3D" w:rsidR="00520D3D" w:rsidP="00520D3D" w:rsidRDefault="00520D3D" w14:paraId="4FE37163" w14:textId="77777777">
            <w:pPr>
              <w:spacing w:after="0" w:line="240" w:lineRule="auto"/>
              <w:jc w:val="right"/>
              <w:rPr>
                <w:rFonts w:ascii="Calibri" w:hAnsi="Calibri" w:eastAsia="Times New Roman" w:cs="Times New Roman"/>
                <w:b/>
                <w:bCs/>
                <w:color w:val="000000"/>
                <w:sz w:val="18"/>
                <w:szCs w:val="18"/>
                <w:lang w:eastAsia="zh-CN"/>
              </w:rPr>
            </w:pPr>
            <w:r w:rsidRPr="00520D3D">
              <w:rPr>
                <w:rFonts w:ascii="Calibri" w:hAnsi="Calibri" w:eastAsia="Times New Roman" w:cs="Times New Roman"/>
                <w:b/>
                <w:bCs/>
                <w:color w:val="000000"/>
                <w:sz w:val="18"/>
                <w:szCs w:val="18"/>
                <w:lang w:eastAsia="zh-CN"/>
              </w:rPr>
              <w:t xml:space="preserve">                   5,458,838 </w:t>
            </w:r>
          </w:p>
        </w:tc>
        <w:tc>
          <w:tcPr>
            <w:tcW w:w="868" w:type="dxa"/>
            <w:tcBorders>
              <w:top w:val="single" w:color="4472C4" w:sz="4" w:space="0"/>
              <w:left w:val="nil"/>
              <w:bottom w:val="nil"/>
              <w:right w:val="nil"/>
            </w:tcBorders>
            <w:shd w:val="clear" w:color="000000" w:fill="FFCCCC"/>
            <w:noWrap/>
            <w:vAlign w:val="bottom"/>
            <w:hideMark/>
          </w:tcPr>
          <w:p w:rsidRPr="00520D3D" w:rsidR="00520D3D" w:rsidP="00520D3D" w:rsidRDefault="00520D3D" w14:paraId="6381C232"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234%</w:t>
            </w:r>
          </w:p>
        </w:tc>
        <w:tc>
          <w:tcPr>
            <w:tcW w:w="3672" w:type="dxa"/>
            <w:tcBorders>
              <w:top w:val="single" w:color="4472C4" w:sz="4" w:space="0"/>
              <w:left w:val="nil"/>
              <w:bottom w:val="nil"/>
              <w:right w:val="single" w:color="4472C4" w:sz="4" w:space="0"/>
            </w:tcBorders>
            <w:shd w:val="clear" w:color="auto" w:fill="auto"/>
            <w:vAlign w:val="bottom"/>
            <w:hideMark/>
          </w:tcPr>
          <w:p w:rsidRPr="00520D3D" w:rsidR="00520D3D" w:rsidP="00520D3D" w:rsidRDefault="00520D3D" w14:paraId="0403F333"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20D3D">
              <w:rPr>
                <w:rFonts w:ascii="Calibri" w:hAnsi="Calibri" w:eastAsia="Times New Roman" w:cs="Times New Roman"/>
                <w:color w:val="000000"/>
                <w:sz w:val="18"/>
                <w:szCs w:val="18"/>
                <w:lang w:eastAsia="zh-CN"/>
              </w:rPr>
              <w:t>Aleppo;Dar'a</w:t>
            </w:r>
            <w:proofErr w:type="gramEnd"/>
            <w:r w:rsidRPr="00520D3D">
              <w:rPr>
                <w:rFonts w:ascii="Calibri" w:hAnsi="Calibri" w:eastAsia="Times New Roman" w:cs="Times New Roman"/>
                <w:color w:val="000000"/>
                <w:sz w:val="18"/>
                <w:szCs w:val="18"/>
                <w:lang w:eastAsia="zh-CN"/>
              </w:rPr>
              <w:t>;Deir-ez-Zor;HamaQuneitra;Rural</w:t>
            </w:r>
            <w:proofErr w:type="spellEnd"/>
            <w:r w:rsidRPr="00520D3D">
              <w:rPr>
                <w:rFonts w:ascii="Calibri" w:hAnsi="Calibri" w:eastAsia="Times New Roman" w:cs="Times New Roman"/>
                <w:color w:val="000000"/>
                <w:sz w:val="18"/>
                <w:szCs w:val="18"/>
                <w:lang w:eastAsia="zh-CN"/>
              </w:rPr>
              <w:t xml:space="preserve"> Damascus;</w:t>
            </w:r>
          </w:p>
        </w:tc>
      </w:tr>
      <w:tr w:rsidRPr="00520D3D" w:rsidR="00520D3D" w:rsidTr="00520D3D" w14:paraId="77BD577D" w14:textId="77777777">
        <w:trPr>
          <w:trHeight w:val="236"/>
        </w:trPr>
        <w:tc>
          <w:tcPr>
            <w:tcW w:w="2700" w:type="dxa"/>
            <w:tcBorders>
              <w:top w:val="single" w:color="4472C4" w:sz="4" w:space="0"/>
              <w:left w:val="single" w:color="4472C4" w:sz="4" w:space="0"/>
              <w:bottom w:val="nil"/>
              <w:right w:val="nil"/>
            </w:tcBorders>
            <w:shd w:val="clear" w:color="auto" w:fill="auto"/>
            <w:vAlign w:val="center"/>
            <w:hideMark/>
          </w:tcPr>
          <w:p w:rsidRPr="00520D3D" w:rsidR="00520D3D" w:rsidP="00520D3D" w:rsidRDefault="00520D3D" w14:paraId="56776A39"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People in Need</w:t>
            </w:r>
          </w:p>
        </w:tc>
        <w:tc>
          <w:tcPr>
            <w:tcW w:w="1181" w:type="dxa"/>
            <w:tcBorders>
              <w:top w:val="single" w:color="4472C4" w:sz="4" w:space="0"/>
              <w:left w:val="nil"/>
              <w:bottom w:val="nil"/>
              <w:right w:val="nil"/>
            </w:tcBorders>
            <w:shd w:val="clear" w:color="auto" w:fill="auto"/>
            <w:noWrap/>
            <w:vAlign w:val="bottom"/>
            <w:hideMark/>
          </w:tcPr>
          <w:p w:rsidRPr="00520D3D" w:rsidR="00520D3D" w:rsidP="00520D3D" w:rsidRDefault="00520D3D" w14:paraId="3E32E772"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                   4,671,049 </w:t>
            </w:r>
          </w:p>
        </w:tc>
        <w:tc>
          <w:tcPr>
            <w:tcW w:w="1112" w:type="dxa"/>
            <w:tcBorders>
              <w:top w:val="single" w:color="4472C4" w:sz="4" w:space="0"/>
              <w:left w:val="nil"/>
              <w:bottom w:val="nil"/>
              <w:right w:val="nil"/>
            </w:tcBorders>
            <w:shd w:val="clear" w:color="000000" w:fill="FFCCCC"/>
            <w:noWrap/>
            <w:vAlign w:val="bottom"/>
            <w:hideMark/>
          </w:tcPr>
          <w:p w:rsidRPr="00520D3D" w:rsidR="00520D3D" w:rsidP="00520D3D" w:rsidRDefault="00520D3D" w14:paraId="41E5D8FB"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5%</w:t>
            </w:r>
          </w:p>
        </w:tc>
        <w:tc>
          <w:tcPr>
            <w:tcW w:w="1183" w:type="dxa"/>
            <w:tcBorders>
              <w:top w:val="single" w:color="4472C4" w:sz="4" w:space="0"/>
              <w:left w:val="nil"/>
              <w:bottom w:val="nil"/>
              <w:right w:val="nil"/>
            </w:tcBorders>
            <w:shd w:val="clear" w:color="auto" w:fill="auto"/>
            <w:noWrap/>
            <w:vAlign w:val="bottom"/>
            <w:hideMark/>
          </w:tcPr>
          <w:p w:rsidRPr="00520D3D" w:rsidR="00520D3D" w:rsidP="00520D3D" w:rsidRDefault="00520D3D" w14:paraId="29C1E37C" w14:textId="77777777">
            <w:pPr>
              <w:spacing w:after="0" w:line="240" w:lineRule="auto"/>
              <w:jc w:val="right"/>
              <w:rPr>
                <w:rFonts w:ascii="Calibri" w:hAnsi="Calibri" w:eastAsia="Times New Roman" w:cs="Times New Roman"/>
                <w:b/>
                <w:bCs/>
                <w:color w:val="000000"/>
                <w:sz w:val="18"/>
                <w:szCs w:val="18"/>
                <w:lang w:eastAsia="zh-CN"/>
              </w:rPr>
            </w:pPr>
            <w:r w:rsidRPr="00520D3D">
              <w:rPr>
                <w:rFonts w:ascii="Calibri" w:hAnsi="Calibri" w:eastAsia="Times New Roman" w:cs="Times New Roman"/>
                <w:b/>
                <w:bCs/>
                <w:color w:val="000000"/>
                <w:sz w:val="18"/>
                <w:szCs w:val="18"/>
                <w:lang w:eastAsia="zh-CN"/>
              </w:rPr>
              <w:t xml:space="preserve">                   5,391,000 </w:t>
            </w:r>
          </w:p>
        </w:tc>
        <w:tc>
          <w:tcPr>
            <w:tcW w:w="868" w:type="dxa"/>
            <w:tcBorders>
              <w:top w:val="single" w:color="4472C4" w:sz="4" w:space="0"/>
              <w:left w:val="nil"/>
              <w:bottom w:val="nil"/>
              <w:right w:val="nil"/>
            </w:tcBorders>
            <w:shd w:val="clear" w:color="000000" w:fill="C6E0B4"/>
            <w:noWrap/>
            <w:vAlign w:val="bottom"/>
            <w:hideMark/>
          </w:tcPr>
          <w:p w:rsidRPr="00520D3D" w:rsidR="00520D3D" w:rsidP="00520D3D" w:rsidRDefault="00520D3D" w14:paraId="0E40DEC5"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15%</w:t>
            </w:r>
          </w:p>
        </w:tc>
        <w:tc>
          <w:tcPr>
            <w:tcW w:w="3672" w:type="dxa"/>
            <w:tcBorders>
              <w:top w:val="single" w:color="4472C4" w:sz="4" w:space="0"/>
              <w:left w:val="nil"/>
              <w:bottom w:val="nil"/>
              <w:right w:val="single" w:color="4472C4" w:sz="4" w:space="0"/>
            </w:tcBorders>
            <w:shd w:val="clear" w:color="auto" w:fill="auto"/>
            <w:vAlign w:val="bottom"/>
            <w:hideMark/>
          </w:tcPr>
          <w:p w:rsidRPr="00520D3D" w:rsidR="00520D3D" w:rsidP="00520D3D" w:rsidRDefault="00520D3D" w14:paraId="69AEF36C"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20D3D">
              <w:rPr>
                <w:rFonts w:ascii="Calibri" w:hAnsi="Calibri" w:eastAsia="Times New Roman" w:cs="Times New Roman"/>
                <w:color w:val="000000"/>
                <w:sz w:val="18"/>
                <w:szCs w:val="18"/>
                <w:lang w:eastAsia="zh-CN"/>
              </w:rPr>
              <w:t>Aleppo;Al</w:t>
            </w:r>
            <w:proofErr w:type="gramEnd"/>
            <w:r w:rsidRPr="00520D3D">
              <w:rPr>
                <w:rFonts w:ascii="Calibri" w:hAnsi="Calibri" w:eastAsia="Times New Roman" w:cs="Times New Roman"/>
                <w:color w:val="000000"/>
                <w:sz w:val="18"/>
                <w:szCs w:val="18"/>
                <w:lang w:eastAsia="zh-CN"/>
              </w:rPr>
              <w:t>-Hasakeh;Ar-RaqqaDeir-ez-Zor;Idleb</w:t>
            </w:r>
            <w:proofErr w:type="spellEnd"/>
          </w:p>
        </w:tc>
      </w:tr>
      <w:tr w:rsidRPr="00520D3D" w:rsidR="00520D3D" w:rsidTr="00520D3D" w14:paraId="7C23BE42" w14:textId="77777777">
        <w:trPr>
          <w:trHeight w:val="236"/>
        </w:trPr>
        <w:tc>
          <w:tcPr>
            <w:tcW w:w="2700" w:type="dxa"/>
            <w:tcBorders>
              <w:top w:val="single" w:color="4472C4" w:sz="4" w:space="0"/>
              <w:left w:val="single" w:color="4472C4" w:sz="4" w:space="0"/>
              <w:bottom w:val="single" w:color="4472C4" w:sz="4" w:space="0"/>
              <w:right w:val="nil"/>
            </w:tcBorders>
            <w:shd w:val="clear" w:color="auto" w:fill="auto"/>
            <w:vAlign w:val="center"/>
            <w:hideMark/>
          </w:tcPr>
          <w:p w:rsidRPr="00520D3D" w:rsidR="00520D3D" w:rsidP="00520D3D" w:rsidRDefault="00520D3D" w14:paraId="35D24DC6" w14:textId="77777777">
            <w:pPr>
              <w:spacing w:after="0" w:line="240" w:lineRule="auto"/>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Takaful </w:t>
            </w:r>
            <w:proofErr w:type="spellStart"/>
            <w:r w:rsidRPr="00520D3D">
              <w:rPr>
                <w:rFonts w:ascii="Calibri" w:hAnsi="Calibri" w:eastAsia="Times New Roman" w:cs="Times New Roman"/>
                <w:color w:val="000000"/>
                <w:sz w:val="18"/>
                <w:szCs w:val="18"/>
                <w:lang w:eastAsia="zh-CN"/>
              </w:rPr>
              <w:t>Alsham</w:t>
            </w:r>
            <w:proofErr w:type="spellEnd"/>
            <w:r w:rsidRPr="00520D3D">
              <w:rPr>
                <w:rFonts w:ascii="Calibri" w:hAnsi="Calibri" w:eastAsia="Times New Roman" w:cs="Times New Roman"/>
                <w:color w:val="000000"/>
                <w:sz w:val="18"/>
                <w:szCs w:val="18"/>
                <w:lang w:eastAsia="zh-CN"/>
              </w:rPr>
              <w:t xml:space="preserve"> Charity Organization</w:t>
            </w:r>
          </w:p>
        </w:tc>
        <w:tc>
          <w:tcPr>
            <w:tcW w:w="1181" w:type="dxa"/>
            <w:tcBorders>
              <w:top w:val="single" w:color="4472C4" w:sz="4" w:space="0"/>
              <w:left w:val="nil"/>
              <w:bottom w:val="single" w:color="4472C4" w:sz="4" w:space="0"/>
              <w:right w:val="nil"/>
            </w:tcBorders>
            <w:shd w:val="clear" w:color="auto" w:fill="auto"/>
            <w:noWrap/>
            <w:vAlign w:val="bottom"/>
            <w:hideMark/>
          </w:tcPr>
          <w:p w:rsidRPr="00520D3D" w:rsidR="00520D3D" w:rsidP="00520D3D" w:rsidRDefault="00520D3D" w14:paraId="5FFE660A"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 xml:space="preserve">                   2,611,125 </w:t>
            </w:r>
          </w:p>
        </w:tc>
        <w:tc>
          <w:tcPr>
            <w:tcW w:w="1112" w:type="dxa"/>
            <w:tcBorders>
              <w:top w:val="single" w:color="4472C4" w:sz="4" w:space="0"/>
              <w:left w:val="nil"/>
              <w:bottom w:val="single" w:color="4472C4" w:sz="4" w:space="0"/>
              <w:right w:val="nil"/>
            </w:tcBorders>
            <w:shd w:val="clear" w:color="000000" w:fill="FFF2CC"/>
            <w:noWrap/>
            <w:vAlign w:val="bottom"/>
            <w:hideMark/>
          </w:tcPr>
          <w:p w:rsidRPr="00520D3D" w:rsidR="00520D3D" w:rsidP="00520D3D" w:rsidRDefault="00520D3D" w14:paraId="3D9D87EB"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36%</w:t>
            </w:r>
          </w:p>
        </w:tc>
        <w:tc>
          <w:tcPr>
            <w:tcW w:w="1183" w:type="dxa"/>
            <w:tcBorders>
              <w:top w:val="single" w:color="4472C4" w:sz="4" w:space="0"/>
              <w:left w:val="nil"/>
              <w:bottom w:val="single" w:color="4472C4" w:sz="4" w:space="0"/>
              <w:right w:val="nil"/>
            </w:tcBorders>
            <w:shd w:val="clear" w:color="auto" w:fill="auto"/>
            <w:noWrap/>
            <w:vAlign w:val="bottom"/>
            <w:hideMark/>
          </w:tcPr>
          <w:p w:rsidRPr="00520D3D" w:rsidR="00520D3D" w:rsidP="00520D3D" w:rsidRDefault="00520D3D" w14:paraId="5F7406A1" w14:textId="77777777">
            <w:pPr>
              <w:spacing w:after="0" w:line="240" w:lineRule="auto"/>
              <w:jc w:val="right"/>
              <w:rPr>
                <w:rFonts w:ascii="Calibri" w:hAnsi="Calibri" w:eastAsia="Times New Roman" w:cs="Times New Roman"/>
                <w:b/>
                <w:bCs/>
                <w:color w:val="000000"/>
                <w:sz w:val="18"/>
                <w:szCs w:val="18"/>
                <w:lang w:eastAsia="zh-CN"/>
              </w:rPr>
            </w:pPr>
            <w:r w:rsidRPr="00520D3D">
              <w:rPr>
                <w:rFonts w:ascii="Calibri" w:hAnsi="Calibri" w:eastAsia="Times New Roman" w:cs="Times New Roman"/>
                <w:b/>
                <w:bCs/>
                <w:color w:val="000000"/>
                <w:sz w:val="18"/>
                <w:szCs w:val="18"/>
                <w:lang w:eastAsia="zh-CN"/>
              </w:rPr>
              <w:t xml:space="preserve">                   5,180,000 </w:t>
            </w:r>
          </w:p>
        </w:tc>
        <w:tc>
          <w:tcPr>
            <w:tcW w:w="868" w:type="dxa"/>
            <w:tcBorders>
              <w:top w:val="single" w:color="4472C4" w:sz="4" w:space="0"/>
              <w:left w:val="nil"/>
              <w:bottom w:val="nil"/>
              <w:right w:val="nil"/>
            </w:tcBorders>
            <w:shd w:val="clear" w:color="000000" w:fill="FFCCCC"/>
            <w:noWrap/>
            <w:vAlign w:val="bottom"/>
            <w:hideMark/>
          </w:tcPr>
          <w:p w:rsidRPr="00520D3D" w:rsidR="00520D3D" w:rsidP="00520D3D" w:rsidRDefault="00520D3D" w14:paraId="012F3A8A" w14:textId="77777777">
            <w:pPr>
              <w:spacing w:after="0" w:line="240" w:lineRule="auto"/>
              <w:jc w:val="right"/>
              <w:rPr>
                <w:rFonts w:ascii="Calibri" w:hAnsi="Calibri" w:eastAsia="Times New Roman" w:cs="Times New Roman"/>
                <w:color w:val="000000"/>
                <w:sz w:val="18"/>
                <w:szCs w:val="18"/>
                <w:lang w:eastAsia="zh-CN"/>
              </w:rPr>
            </w:pPr>
            <w:r w:rsidRPr="00520D3D">
              <w:rPr>
                <w:rFonts w:ascii="Calibri" w:hAnsi="Calibri" w:eastAsia="Times New Roman" w:cs="Times New Roman"/>
                <w:color w:val="000000"/>
                <w:sz w:val="18"/>
                <w:szCs w:val="18"/>
                <w:lang w:eastAsia="zh-CN"/>
              </w:rPr>
              <w:t>98%</w:t>
            </w:r>
          </w:p>
        </w:tc>
        <w:tc>
          <w:tcPr>
            <w:tcW w:w="3672" w:type="dxa"/>
            <w:tcBorders>
              <w:top w:val="single" w:color="4472C4" w:sz="4" w:space="0"/>
              <w:left w:val="nil"/>
              <w:bottom w:val="single" w:color="4472C4" w:sz="4" w:space="0"/>
              <w:right w:val="single" w:color="4472C4" w:sz="4" w:space="0"/>
            </w:tcBorders>
            <w:shd w:val="clear" w:color="auto" w:fill="auto"/>
            <w:vAlign w:val="bottom"/>
            <w:hideMark/>
          </w:tcPr>
          <w:p w:rsidRPr="00520D3D" w:rsidR="00520D3D" w:rsidP="00520D3D" w:rsidRDefault="00520D3D" w14:paraId="0BE570C4"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520D3D">
              <w:rPr>
                <w:rFonts w:ascii="Calibri" w:hAnsi="Calibri" w:eastAsia="Times New Roman" w:cs="Times New Roman"/>
                <w:color w:val="000000"/>
                <w:sz w:val="18"/>
                <w:szCs w:val="18"/>
                <w:lang w:eastAsia="zh-CN"/>
              </w:rPr>
              <w:t>Aleppo;Idleb</w:t>
            </w:r>
            <w:proofErr w:type="spellEnd"/>
            <w:proofErr w:type="gramEnd"/>
          </w:p>
        </w:tc>
      </w:tr>
    </w:tbl>
    <w:p w:rsidRPr="00BC70B3" w:rsidR="00755DC7" w:rsidP="00755DC7" w:rsidRDefault="00755DC7" w14:paraId="3031D409" w14:textId="77777777">
      <w:pPr>
        <w:pStyle w:val="ListParagraph"/>
        <w:ind w:left="792"/>
        <w:jc w:val="both"/>
        <w:rPr>
          <w:rFonts w:cstheme="minorBidi"/>
          <w:sz w:val="20"/>
          <w:szCs w:val="20"/>
        </w:rPr>
      </w:pPr>
    </w:p>
    <w:p w:rsidR="00A31F3C" w:rsidRDefault="00A31F3C" w14:paraId="5392E4ED" w14:textId="77777777">
      <w:pPr>
        <w:rPr>
          <w:b/>
          <w:bCs/>
          <w:sz w:val="24"/>
          <w:szCs w:val="24"/>
        </w:rPr>
      </w:pPr>
      <w:r>
        <w:rPr>
          <w:b/>
          <w:bCs/>
          <w:sz w:val="24"/>
          <w:szCs w:val="24"/>
        </w:rPr>
        <w:br w:type="page"/>
      </w:r>
    </w:p>
    <w:p w:rsidRPr="00620E5F" w:rsidR="00945D98" w:rsidP="00EA1163" w:rsidRDefault="00945D98" w14:paraId="78121A48" w14:textId="6E8B19DB">
      <w:pPr>
        <w:spacing w:line="240" w:lineRule="auto"/>
        <w:jc w:val="center"/>
        <w:rPr>
          <w:b/>
          <w:bCs/>
          <w:sz w:val="24"/>
          <w:szCs w:val="24"/>
        </w:rPr>
      </w:pPr>
      <w:r w:rsidRPr="00620E5F">
        <w:rPr>
          <w:b/>
          <w:bCs/>
          <w:sz w:val="24"/>
          <w:szCs w:val="24"/>
        </w:rPr>
        <w:t>F</w:t>
      </w:r>
      <w:r w:rsidRPr="00620E5F" w:rsidR="00464952">
        <w:rPr>
          <w:b/>
          <w:bCs/>
          <w:sz w:val="24"/>
          <w:szCs w:val="24"/>
        </w:rPr>
        <w:t>ood Security Sector</w:t>
      </w:r>
    </w:p>
    <w:p w:rsidRPr="00E20A48" w:rsidR="00964D50" w:rsidP="00EA1163" w:rsidRDefault="00964D50" w14:paraId="38C845F9" w14:textId="65374B6D">
      <w:pPr>
        <w:spacing w:line="240" w:lineRule="auto"/>
        <w:rPr>
          <w:sz w:val="20"/>
          <w:szCs w:val="20"/>
        </w:rPr>
      </w:pPr>
      <w:r w:rsidRPr="00E20A48">
        <w:rPr>
          <w:b/>
          <w:sz w:val="20"/>
          <w:szCs w:val="20"/>
        </w:rPr>
        <w:t xml:space="preserve">Name of Coordinators: </w:t>
      </w:r>
      <w:r w:rsidRPr="00A31F3C" w:rsidR="00A31F3C">
        <w:rPr>
          <w:sz w:val="20"/>
          <w:szCs w:val="20"/>
        </w:rPr>
        <w:t>Jalal Al</w:t>
      </w:r>
      <w:r w:rsidR="00A31F3C">
        <w:rPr>
          <w:sz w:val="20"/>
          <w:szCs w:val="20"/>
        </w:rPr>
        <w:t>-</w:t>
      </w:r>
      <w:r w:rsidRPr="00A31F3C" w:rsidR="00A31F3C">
        <w:rPr>
          <w:sz w:val="20"/>
          <w:szCs w:val="20"/>
        </w:rPr>
        <w:t>Hamoud</w:t>
      </w:r>
      <w:r w:rsidR="00A31F3C">
        <w:rPr>
          <w:sz w:val="20"/>
          <w:szCs w:val="20"/>
        </w:rPr>
        <w:t xml:space="preserve"> (</w:t>
      </w:r>
      <w:proofErr w:type="spellStart"/>
      <w:r w:rsidR="00A31F3C">
        <w:rPr>
          <w:sz w:val="20"/>
          <w:szCs w:val="20"/>
        </w:rPr>
        <w:t>a.i.</w:t>
      </w:r>
      <w:proofErr w:type="spellEnd"/>
      <w:r w:rsidR="00A31F3C">
        <w:rPr>
          <w:sz w:val="20"/>
          <w:szCs w:val="20"/>
        </w:rPr>
        <w:t>)/FAO</w:t>
      </w:r>
      <w:r w:rsidRPr="00E20A48" w:rsidR="00620E5F">
        <w:rPr>
          <w:sz w:val="20"/>
          <w:szCs w:val="20"/>
        </w:rPr>
        <w:t xml:space="preserve"> and Tulin Arslan</w:t>
      </w:r>
      <w:r w:rsidR="00A31F3C">
        <w:rPr>
          <w:sz w:val="20"/>
          <w:szCs w:val="20"/>
        </w:rPr>
        <w:t>/Mercy Corps</w:t>
      </w:r>
    </w:p>
    <w:p w:rsidRPr="00E20A48" w:rsidR="00A1206C" w:rsidP="00A31F3C" w:rsidRDefault="00A1206C" w14:paraId="58F69AB6" w14:textId="77777777">
      <w:pPr>
        <w:spacing w:line="240" w:lineRule="auto"/>
        <w:rPr>
          <w:sz w:val="20"/>
          <w:szCs w:val="20"/>
        </w:rPr>
      </w:pPr>
    </w:p>
    <w:p w:rsidRPr="004E276D" w:rsidR="00A96CC4" w:rsidP="00EA1163" w:rsidRDefault="00A96CC4" w14:paraId="0B41FE66" w14:textId="77777777">
      <w:pPr>
        <w:pBdr>
          <w:top w:val="single" w:color="auto" w:sz="4" w:space="1"/>
          <w:left w:val="single" w:color="auto" w:sz="4" w:space="4"/>
          <w:bottom w:val="single" w:color="auto" w:sz="4" w:space="12"/>
          <w:right w:val="single" w:color="auto" w:sz="4" w:space="4"/>
        </w:pBdr>
        <w:spacing w:line="240" w:lineRule="auto"/>
        <w:jc w:val="center"/>
        <w:rPr>
          <w:b/>
          <w:bCs/>
          <w:color w:val="2F5496" w:themeColor="accent1" w:themeShade="BF"/>
          <w:sz w:val="20"/>
          <w:szCs w:val="20"/>
        </w:rPr>
      </w:pPr>
      <w:r w:rsidRPr="004E276D">
        <w:rPr>
          <w:b/>
          <w:bCs/>
          <w:color w:val="2F5496" w:themeColor="accent1" w:themeShade="BF"/>
          <w:sz w:val="20"/>
          <w:szCs w:val="20"/>
          <w:highlight w:val="yellow"/>
        </w:rPr>
        <w:t>Suggested points to raise</w:t>
      </w:r>
    </w:p>
    <w:p w:rsidRPr="004E276D" w:rsidR="004E276D" w:rsidP="006A519B" w:rsidRDefault="00D737AD" w14:paraId="2676775B" w14:textId="3773661B">
      <w:pPr>
        <w:pStyle w:val="ListParagraph"/>
        <w:numPr>
          <w:ilvl w:val="0"/>
          <w:numId w:val="21"/>
        </w:numPr>
        <w:pBdr>
          <w:top w:val="single" w:color="auto" w:sz="4" w:space="1"/>
          <w:left w:val="single" w:color="auto" w:sz="4" w:space="4"/>
          <w:bottom w:val="single" w:color="auto" w:sz="4" w:space="12"/>
          <w:right w:val="single" w:color="auto" w:sz="4" w:space="4"/>
        </w:pBdr>
        <w:spacing w:after="120"/>
        <w:jc w:val="both"/>
        <w:rPr>
          <w:b/>
          <w:color w:val="2F5496" w:themeColor="accent1" w:themeShade="BF"/>
        </w:rPr>
      </w:pPr>
      <w:r w:rsidRPr="004E276D">
        <w:rPr>
          <w:rFonts w:asciiTheme="minorHAnsi" w:hAnsiTheme="minorHAnsi" w:cstheme="minorHAnsi"/>
          <w:b/>
          <w:bCs/>
          <w:color w:val="2F5496" w:themeColor="accent1" w:themeShade="BF"/>
        </w:rPr>
        <w:t>In 2020,</w:t>
      </w:r>
      <w:r w:rsidRPr="004E276D" w:rsidR="00DD747D">
        <w:rPr>
          <w:rFonts w:asciiTheme="minorHAnsi" w:hAnsiTheme="minorHAnsi" w:cstheme="minorHAnsi"/>
          <w:b/>
          <w:bCs/>
          <w:color w:val="2F5496" w:themeColor="accent1" w:themeShade="BF"/>
        </w:rPr>
        <w:t xml:space="preserve"> </w:t>
      </w:r>
      <w:r w:rsidRPr="004E276D" w:rsidR="00ED72BF">
        <w:rPr>
          <w:rFonts w:asciiTheme="minorHAnsi" w:hAnsiTheme="minorHAnsi" w:cstheme="minorHAnsi"/>
          <w:b/>
          <w:bCs/>
          <w:color w:val="2F5496" w:themeColor="accent1" w:themeShade="BF"/>
        </w:rPr>
        <w:t xml:space="preserve">the sector reported </w:t>
      </w:r>
      <w:r w:rsidRPr="004E276D" w:rsidR="00DD747D">
        <w:rPr>
          <w:rFonts w:asciiTheme="minorHAnsi" w:hAnsiTheme="minorHAnsi" w:cstheme="minorHAnsi"/>
          <w:b/>
          <w:bCs/>
          <w:color w:val="2F5496" w:themeColor="accent1" w:themeShade="BF"/>
        </w:rPr>
        <w:t xml:space="preserve">56% </w:t>
      </w:r>
      <w:r w:rsidRPr="004E276D">
        <w:rPr>
          <w:rFonts w:asciiTheme="minorHAnsi" w:hAnsiTheme="minorHAnsi" w:cstheme="minorHAnsi"/>
          <w:b/>
          <w:bCs/>
          <w:color w:val="2F5496" w:themeColor="accent1" w:themeShade="BF"/>
        </w:rPr>
        <w:t xml:space="preserve">response reach (5.5m people reached against a target of </w:t>
      </w:r>
      <w:r w:rsidRPr="004E276D" w:rsidR="00ED72BF">
        <w:rPr>
          <w:rFonts w:asciiTheme="minorHAnsi" w:hAnsiTheme="minorHAnsi" w:cstheme="minorHAnsi"/>
          <w:b/>
          <w:bCs/>
          <w:color w:val="2F5496" w:themeColor="accent1" w:themeShade="BF"/>
        </w:rPr>
        <w:t>9.8m)</w:t>
      </w:r>
      <w:r w:rsidRPr="004E276D">
        <w:rPr>
          <w:rFonts w:asciiTheme="minorHAnsi" w:hAnsiTheme="minorHAnsi" w:cstheme="minorHAnsi"/>
          <w:b/>
          <w:bCs/>
          <w:color w:val="2F5496" w:themeColor="accent1" w:themeShade="BF"/>
        </w:rPr>
        <w:t xml:space="preserve">. As </w:t>
      </w:r>
      <w:r w:rsidRPr="004E276D" w:rsidR="00ED72BF">
        <w:rPr>
          <w:rFonts w:asciiTheme="minorHAnsi" w:hAnsiTheme="minorHAnsi" w:cstheme="minorHAnsi"/>
          <w:b/>
          <w:bCs/>
          <w:color w:val="2F5496" w:themeColor="accent1" w:themeShade="BF"/>
        </w:rPr>
        <w:t xml:space="preserve">the 2021 target has significantly increased </w:t>
      </w:r>
      <w:r w:rsidRPr="004E276D">
        <w:rPr>
          <w:rFonts w:asciiTheme="minorHAnsi" w:hAnsiTheme="minorHAnsi" w:cstheme="minorHAnsi"/>
          <w:b/>
          <w:bCs/>
          <w:color w:val="2F5496" w:themeColor="accent1" w:themeShade="BF"/>
        </w:rPr>
        <w:t>to 13.2m (+</w:t>
      </w:r>
      <w:r w:rsidRPr="004E276D" w:rsidR="00ED72BF">
        <w:rPr>
          <w:rFonts w:asciiTheme="minorHAnsi" w:hAnsiTheme="minorHAnsi" w:cstheme="minorHAnsi"/>
          <w:b/>
          <w:bCs/>
          <w:color w:val="2F5496" w:themeColor="accent1" w:themeShade="BF"/>
        </w:rPr>
        <w:t>35%</w:t>
      </w:r>
      <w:r w:rsidRPr="004E276D">
        <w:rPr>
          <w:rFonts w:asciiTheme="minorHAnsi" w:hAnsiTheme="minorHAnsi" w:cstheme="minorHAnsi"/>
          <w:b/>
          <w:bCs/>
          <w:color w:val="2F5496" w:themeColor="accent1" w:themeShade="BF"/>
        </w:rPr>
        <w:t xml:space="preserve">), how does the sector plan to </w:t>
      </w:r>
      <w:r w:rsidR="004E276D">
        <w:rPr>
          <w:rFonts w:asciiTheme="minorHAnsi" w:hAnsiTheme="minorHAnsi" w:cstheme="minorHAnsi"/>
          <w:b/>
          <w:bCs/>
          <w:color w:val="2F5496" w:themeColor="accent1" w:themeShade="BF"/>
        </w:rPr>
        <w:t xml:space="preserve">dramatically </w:t>
      </w:r>
      <w:r w:rsidRPr="004E276D">
        <w:rPr>
          <w:rFonts w:asciiTheme="minorHAnsi" w:hAnsiTheme="minorHAnsi" w:cstheme="minorHAnsi"/>
          <w:b/>
          <w:bCs/>
          <w:color w:val="2F5496" w:themeColor="accent1" w:themeShade="BF"/>
        </w:rPr>
        <w:t xml:space="preserve">increase its reach and implementation capacity? </w:t>
      </w:r>
      <w:r w:rsidRPr="004E276D" w:rsidR="004E276D">
        <w:rPr>
          <w:rFonts w:asciiTheme="minorHAnsi" w:hAnsiTheme="minorHAnsi" w:cstheme="minorHAnsi"/>
          <w:b/>
          <w:bCs/>
          <w:color w:val="2F5496" w:themeColor="accent1" w:themeShade="BF"/>
        </w:rPr>
        <w:t>What challenges</w:t>
      </w:r>
      <w:r w:rsidR="004E276D">
        <w:rPr>
          <w:rFonts w:asciiTheme="minorHAnsi" w:hAnsiTheme="minorHAnsi" w:cstheme="minorHAnsi"/>
          <w:b/>
          <w:bCs/>
          <w:color w:val="2F5496" w:themeColor="accent1" w:themeShade="BF"/>
        </w:rPr>
        <w:t xml:space="preserve"> (other than underfunding) d</w:t>
      </w:r>
      <w:r w:rsidRPr="004E276D" w:rsidR="004E276D">
        <w:rPr>
          <w:rFonts w:asciiTheme="minorHAnsi" w:hAnsiTheme="minorHAnsi" w:cstheme="minorHAnsi"/>
          <w:b/>
          <w:bCs/>
          <w:color w:val="2F5496" w:themeColor="accent1" w:themeShade="BF"/>
        </w:rPr>
        <w:t xml:space="preserve">o you </w:t>
      </w:r>
      <w:r w:rsidR="004E276D">
        <w:rPr>
          <w:rFonts w:asciiTheme="minorHAnsi" w:hAnsiTheme="minorHAnsi" w:cstheme="minorHAnsi"/>
          <w:b/>
          <w:bCs/>
          <w:color w:val="2F5496" w:themeColor="accent1" w:themeShade="BF"/>
        </w:rPr>
        <w:t>foresee in this regard?</w:t>
      </w:r>
    </w:p>
    <w:p w:rsidRPr="00E20A48" w:rsidR="00945D98" w:rsidP="006A519B" w:rsidRDefault="004E276D" w14:paraId="6987395C" w14:textId="1D6B557D">
      <w:pPr>
        <w:pStyle w:val="ListParagraph"/>
        <w:numPr>
          <w:ilvl w:val="0"/>
          <w:numId w:val="21"/>
        </w:numPr>
        <w:pBdr>
          <w:top w:val="single" w:color="auto" w:sz="4" w:space="1"/>
          <w:left w:val="single" w:color="auto" w:sz="4" w:space="4"/>
          <w:bottom w:val="single" w:color="auto" w:sz="4" w:space="12"/>
          <w:right w:val="single" w:color="auto" w:sz="4" w:space="4"/>
        </w:pBdr>
        <w:spacing w:after="120"/>
        <w:jc w:val="both"/>
        <w:rPr>
          <w:b/>
          <w:color w:val="2F5496" w:themeColor="accent1" w:themeShade="BF"/>
        </w:rPr>
      </w:pPr>
      <w:r>
        <w:rPr>
          <w:b/>
          <w:bCs/>
          <w:color w:val="2F5496" w:themeColor="accent1" w:themeShade="BF"/>
        </w:rPr>
        <w:t xml:space="preserve">What role will </w:t>
      </w:r>
      <w:proofErr w:type="gramStart"/>
      <w:r>
        <w:rPr>
          <w:b/>
          <w:bCs/>
          <w:color w:val="2F5496" w:themeColor="accent1" w:themeShade="BF"/>
        </w:rPr>
        <w:t>cash</w:t>
      </w:r>
      <w:proofErr w:type="gramEnd"/>
      <w:r>
        <w:rPr>
          <w:b/>
          <w:bCs/>
          <w:color w:val="2F5496" w:themeColor="accent1" w:themeShade="BF"/>
        </w:rPr>
        <w:t xml:space="preserve"> and voucher assistance play in that regard? Does the sector plan to increase this type of programming? What are</w:t>
      </w:r>
      <w:r w:rsidR="006A519B">
        <w:rPr>
          <w:b/>
          <w:bCs/>
          <w:color w:val="2F5496" w:themeColor="accent1" w:themeShade="BF"/>
        </w:rPr>
        <w:t xml:space="preserve"> related challenges you foresee?</w:t>
      </w:r>
      <w:r>
        <w:rPr>
          <w:b/>
          <w:bCs/>
          <w:color w:val="2F5496" w:themeColor="accent1" w:themeShade="BF"/>
        </w:rPr>
        <w:t xml:space="preserve"> </w:t>
      </w:r>
      <w:r w:rsidR="006A519B">
        <w:rPr>
          <w:b/>
          <w:bCs/>
          <w:color w:val="2F5496" w:themeColor="accent1" w:themeShade="BF"/>
        </w:rPr>
        <w:t xml:space="preserve"> </w:t>
      </w:r>
    </w:p>
    <w:p w:rsidRPr="006A519B" w:rsidR="00E20A48" w:rsidP="006A519B" w:rsidRDefault="006A519B" w14:paraId="168137CB" w14:textId="55B6DDB7">
      <w:pPr>
        <w:pStyle w:val="ListParagraph"/>
        <w:numPr>
          <w:ilvl w:val="0"/>
          <w:numId w:val="21"/>
        </w:numPr>
        <w:pBdr>
          <w:top w:val="single" w:color="auto" w:sz="4" w:space="1"/>
          <w:left w:val="single" w:color="auto" w:sz="4" w:space="4"/>
          <w:bottom w:val="single" w:color="auto" w:sz="4" w:space="12"/>
          <w:right w:val="single" w:color="auto" w:sz="4" w:space="4"/>
        </w:pBdr>
        <w:spacing w:after="120"/>
        <w:jc w:val="both"/>
        <w:rPr>
          <w:b/>
          <w:color w:val="2F5496" w:themeColor="accent1" w:themeShade="BF"/>
        </w:rPr>
      </w:pPr>
      <w:r>
        <w:rPr>
          <w:b/>
          <w:bCs/>
          <w:color w:val="2F5496" w:themeColor="accent1" w:themeShade="BF"/>
        </w:rPr>
        <w:t xml:space="preserve">What advocacy efforts is the sector undertaking regarding increased support to / chronic underfunding of agriculture-based interventions </w:t>
      </w:r>
      <w:r w:rsidR="00E45764">
        <w:rPr>
          <w:b/>
          <w:bCs/>
          <w:color w:val="2F5496" w:themeColor="accent1" w:themeShade="BF"/>
        </w:rPr>
        <w:t xml:space="preserve">and livelihood support </w:t>
      </w:r>
      <w:r>
        <w:rPr>
          <w:b/>
          <w:bCs/>
          <w:color w:val="2F5496" w:themeColor="accent1" w:themeShade="BF"/>
        </w:rPr>
        <w:t>in 2021? Do joined-up efforts exist across sectors, e.g. with ERL, in this regard?</w:t>
      </w:r>
      <w:r w:rsidR="00E45764">
        <w:rPr>
          <w:b/>
          <w:bCs/>
          <w:color w:val="2F5496" w:themeColor="accent1" w:themeShade="BF"/>
        </w:rPr>
        <w:t xml:space="preserve"> What challenges remain for ensuring tangible impact of such cross-sectoral efforts at operational level?</w:t>
      </w:r>
    </w:p>
    <w:p w:rsidRPr="006A519B" w:rsidR="00E45764" w:rsidP="00E45764" w:rsidRDefault="00E45764" w14:paraId="557CCE70" w14:textId="71CDB125">
      <w:pPr>
        <w:pStyle w:val="ListParagraph"/>
        <w:numPr>
          <w:ilvl w:val="0"/>
          <w:numId w:val="21"/>
        </w:numPr>
        <w:pBdr>
          <w:top w:val="single" w:color="auto" w:sz="4" w:space="1"/>
          <w:left w:val="single" w:color="auto" w:sz="4" w:space="4"/>
          <w:bottom w:val="single" w:color="auto" w:sz="4" w:space="12"/>
          <w:right w:val="single" w:color="auto" w:sz="4" w:space="4"/>
        </w:pBdr>
        <w:spacing w:after="120"/>
        <w:jc w:val="both"/>
        <w:rPr>
          <w:b/>
          <w:color w:val="2F5496" w:themeColor="accent1" w:themeShade="BF"/>
        </w:rPr>
      </w:pPr>
      <w:r>
        <w:rPr>
          <w:b/>
          <w:color w:val="2F5496" w:themeColor="accent1" w:themeShade="BF"/>
        </w:rPr>
        <w:t>Similarly, what coordination efforts exist or may be planned with the Nutrition Sector as far as stemming the increase in malnutrition rates? Again, what are challenges in terms of ensuring tangible impact?</w:t>
      </w:r>
    </w:p>
    <w:tbl>
      <w:tblPr>
        <w:tblStyle w:val="PlainTable4"/>
        <w:tblpPr w:leftFromText="180" w:rightFromText="180" w:vertAnchor="text" w:horzAnchor="margin" w:tblpX="445" w:tblpY="354"/>
        <w:tblW w:w="8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2"/>
        <w:gridCol w:w="1023"/>
        <w:gridCol w:w="1315"/>
        <w:gridCol w:w="1023"/>
        <w:gridCol w:w="1086"/>
        <w:gridCol w:w="1024"/>
        <w:gridCol w:w="974"/>
        <w:gridCol w:w="938"/>
      </w:tblGrid>
      <w:tr w:rsidR="00A96CC4" w:rsidTr="00D737AD" w14:paraId="33FCAAE3"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576" w:type="dxa"/>
            <w:gridSpan w:val="2"/>
          </w:tcPr>
          <w:p w:rsidRPr="0081651A" w:rsidR="00A96CC4" w:rsidP="00A96CC4" w:rsidRDefault="00A96CC4" w14:paraId="67082D89" w14:textId="77777777">
            <w:pPr>
              <w:pStyle w:val="ListParagraph"/>
              <w:ind w:left="0"/>
              <w:jc w:val="center"/>
              <w:rPr>
                <w:b w:val="0"/>
                <w:bCs w:val="0"/>
              </w:rPr>
            </w:pPr>
            <w:r w:rsidRPr="0081651A">
              <w:rPr>
                <w:b w:val="0"/>
                <w:bCs w:val="0"/>
              </w:rPr>
              <w:t>People in Need</w:t>
            </w:r>
          </w:p>
        </w:tc>
        <w:tc>
          <w:tcPr>
            <w:tcW w:w="2422" w:type="dxa"/>
            <w:gridSpan w:val="2"/>
          </w:tcPr>
          <w:p w:rsidRPr="0081651A" w:rsidR="00A96CC4" w:rsidP="00A96CC4" w:rsidRDefault="00A96CC4" w14:paraId="3FC7D73B"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rPr>
            </w:pPr>
            <w:r w:rsidRPr="0081651A">
              <w:rPr>
                <w:b w:val="0"/>
                <w:bCs w:val="0"/>
              </w:rPr>
              <w:t>Target</w:t>
            </w:r>
          </w:p>
        </w:tc>
        <w:tc>
          <w:tcPr>
            <w:tcW w:w="2163" w:type="dxa"/>
            <w:gridSpan w:val="2"/>
          </w:tcPr>
          <w:p w:rsidRPr="0081651A" w:rsidR="00A96CC4" w:rsidP="00A96CC4" w:rsidRDefault="00A96CC4" w14:paraId="7098D2F0"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rPr>
            </w:pPr>
            <w:r w:rsidRPr="0081651A">
              <w:rPr>
                <w:b w:val="0"/>
                <w:bCs w:val="0"/>
              </w:rPr>
              <w:t>Funding requirements</w:t>
            </w:r>
          </w:p>
        </w:tc>
        <w:tc>
          <w:tcPr>
            <w:tcW w:w="974" w:type="dxa"/>
            <w:tcBorders>
              <w:bottom w:val="single" w:color="auto" w:sz="4" w:space="0"/>
            </w:tcBorders>
          </w:tcPr>
          <w:p w:rsidRPr="0081651A" w:rsidR="00A96CC4" w:rsidP="00A96CC4" w:rsidRDefault="00A96CC4" w14:paraId="31E13F98" w14:textId="7777777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81651A">
              <w:rPr>
                <w:b w:val="0"/>
                <w:bCs w:val="0"/>
              </w:rPr>
              <w:t xml:space="preserve">Partners </w:t>
            </w:r>
          </w:p>
        </w:tc>
        <w:tc>
          <w:tcPr>
            <w:tcW w:w="770" w:type="dxa"/>
            <w:tcBorders>
              <w:bottom w:val="single" w:color="auto" w:sz="4" w:space="0"/>
            </w:tcBorders>
          </w:tcPr>
          <w:p w:rsidRPr="0081651A" w:rsidR="00A96CC4" w:rsidP="00A96CC4" w:rsidRDefault="00A96CC4" w14:paraId="29516E2E" w14:textId="7777777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81651A">
              <w:rPr>
                <w:b w:val="0"/>
                <w:bCs w:val="0"/>
              </w:rPr>
              <w:t xml:space="preserve">Projects </w:t>
            </w:r>
          </w:p>
        </w:tc>
      </w:tr>
      <w:tr w:rsidR="00125817" w:rsidTr="00D737AD" w14:paraId="2DE89BB6" w14:textId="7777777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522" w:type="dxa"/>
          </w:tcPr>
          <w:p w:rsidRPr="005374CC" w:rsidR="00A96CC4" w:rsidP="0081651A" w:rsidRDefault="00A96CC4" w14:paraId="7F348793" w14:textId="77777777">
            <w:pPr>
              <w:pStyle w:val="ListParagraph"/>
              <w:ind w:left="0"/>
              <w:jc w:val="center"/>
              <w:rPr>
                <w:b w:val="0"/>
                <w:bCs w:val="0"/>
                <w:i/>
                <w:iCs/>
                <w:sz w:val="14"/>
                <w:szCs w:val="14"/>
              </w:rPr>
            </w:pPr>
            <w:r w:rsidRPr="005374CC">
              <w:rPr>
                <w:b w:val="0"/>
                <w:bCs w:val="0"/>
                <w:i/>
                <w:iCs/>
                <w:sz w:val="14"/>
                <w:szCs w:val="14"/>
              </w:rPr>
              <w:t>In million</w:t>
            </w:r>
          </w:p>
        </w:tc>
        <w:tc>
          <w:tcPr>
            <w:tcW w:w="1054" w:type="dxa"/>
          </w:tcPr>
          <w:p w:rsidRPr="005374CC" w:rsidR="00A96CC4" w:rsidP="0081651A" w:rsidRDefault="00A96CC4" w14:paraId="1D420CB0"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i/>
                <w:iCs/>
                <w:sz w:val="14"/>
                <w:szCs w:val="14"/>
              </w:rPr>
            </w:pPr>
            <w:r w:rsidRPr="005374CC">
              <w:rPr>
                <w:i/>
                <w:iCs/>
                <w:sz w:val="14"/>
                <w:szCs w:val="14"/>
              </w:rPr>
              <w:t>% variation in 2020</w:t>
            </w:r>
          </w:p>
        </w:tc>
        <w:tc>
          <w:tcPr>
            <w:tcW w:w="1368" w:type="dxa"/>
          </w:tcPr>
          <w:p w:rsidRPr="005374CC" w:rsidR="00A96CC4" w:rsidP="0081651A" w:rsidRDefault="00A96CC4" w14:paraId="09ED8033"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In million</w:t>
            </w:r>
          </w:p>
        </w:tc>
        <w:tc>
          <w:tcPr>
            <w:tcW w:w="1054" w:type="dxa"/>
          </w:tcPr>
          <w:p w:rsidRPr="005374CC" w:rsidR="00A96CC4" w:rsidP="0081651A" w:rsidRDefault="00A96CC4" w14:paraId="775BEA35"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1108" w:type="dxa"/>
          </w:tcPr>
          <w:p w:rsidRPr="005374CC" w:rsidR="00A96CC4" w:rsidP="00A96CC4" w:rsidRDefault="00A96CC4" w14:paraId="1C34F09D"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US$</w:t>
            </w:r>
          </w:p>
        </w:tc>
        <w:tc>
          <w:tcPr>
            <w:tcW w:w="1055" w:type="dxa"/>
            <w:tcBorders>
              <w:right w:val="single" w:color="auto" w:sz="4" w:space="0"/>
            </w:tcBorders>
          </w:tcPr>
          <w:p w:rsidRPr="005374CC" w:rsidR="00A96CC4" w:rsidP="00A96CC4" w:rsidRDefault="00A96CC4" w14:paraId="35FF662A"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974" w:type="dxa"/>
            <w:vMerge w:val="restart"/>
            <w:tcBorders>
              <w:top w:val="single" w:color="auto" w:sz="4" w:space="0"/>
              <w:left w:val="single" w:color="auto" w:sz="4" w:space="0"/>
              <w:bottom w:val="single" w:color="auto" w:sz="4" w:space="0"/>
              <w:right w:val="single" w:color="auto" w:sz="4" w:space="0"/>
            </w:tcBorders>
          </w:tcPr>
          <w:p w:rsidR="00A96CC4" w:rsidP="00A96CC4" w:rsidRDefault="00A96CC4" w14:paraId="21FF3CC4"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A96CC4" w:rsidP="00A96CC4" w:rsidRDefault="00A96CC4" w14:paraId="57CAE712" w14:textId="6FFC1A59">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78</w:t>
            </w:r>
            <w:r w:rsidRPr="0081651A">
              <w:rPr>
                <w:sz w:val="16"/>
                <w:szCs w:val="16"/>
              </w:rPr>
              <w:t>(+1)</w:t>
            </w:r>
          </w:p>
        </w:tc>
        <w:tc>
          <w:tcPr>
            <w:tcW w:w="770" w:type="dxa"/>
            <w:vMerge w:val="restart"/>
            <w:tcBorders>
              <w:top w:val="single" w:color="auto" w:sz="4" w:space="0"/>
              <w:left w:val="single" w:color="auto" w:sz="4" w:space="0"/>
              <w:bottom w:val="single" w:color="auto" w:sz="4" w:space="0"/>
              <w:right w:val="single" w:color="auto" w:sz="4" w:space="0"/>
            </w:tcBorders>
          </w:tcPr>
          <w:p w:rsidR="00A96CC4" w:rsidP="00A96CC4" w:rsidRDefault="00A96CC4" w14:paraId="1E0F7C67"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A96CC4" w:rsidP="00A96CC4" w:rsidRDefault="00A96CC4" w14:paraId="53242D3F" w14:textId="4B2C4909">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 xml:space="preserve">124 </w:t>
            </w:r>
            <w:r w:rsidRPr="0081651A">
              <w:rPr>
                <w:sz w:val="16"/>
                <w:szCs w:val="16"/>
              </w:rPr>
              <w:t>(-3)</w:t>
            </w:r>
          </w:p>
        </w:tc>
      </w:tr>
      <w:tr w:rsidR="00A96CC4" w:rsidTr="00D737AD" w14:paraId="58192A69" w14:textId="77777777">
        <w:trPr>
          <w:trHeight w:val="461"/>
        </w:trPr>
        <w:tc>
          <w:tcPr>
            <w:cnfStyle w:val="001000000000" w:firstRow="0" w:lastRow="0" w:firstColumn="1" w:lastColumn="0" w:oddVBand="0" w:evenVBand="0" w:oddHBand="0" w:evenHBand="0" w:firstRowFirstColumn="0" w:firstRowLastColumn="0" w:lastRowFirstColumn="0" w:lastRowLastColumn="0"/>
            <w:tcW w:w="1522" w:type="dxa"/>
          </w:tcPr>
          <w:p w:rsidRPr="00F25457" w:rsidR="00A96CC4" w:rsidP="00A96CC4" w:rsidRDefault="00A96CC4" w14:paraId="4FAA5614" w14:textId="77777777">
            <w:pPr>
              <w:pStyle w:val="ListParagraph"/>
              <w:jc w:val="center"/>
              <w:rPr>
                <w:b w:val="0"/>
                <w:bCs w:val="0"/>
              </w:rPr>
            </w:pPr>
            <w:r w:rsidRPr="00F25457">
              <w:t>14.2M</w:t>
            </w:r>
          </w:p>
        </w:tc>
        <w:tc>
          <w:tcPr>
            <w:tcW w:w="1054" w:type="dxa"/>
          </w:tcPr>
          <w:p w:rsidRPr="00F25457" w:rsidR="00A96CC4" w:rsidP="0081651A" w:rsidRDefault="00A96CC4" w14:paraId="54B5299C"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F25457">
              <w:t>45%</w:t>
            </w:r>
          </w:p>
        </w:tc>
        <w:tc>
          <w:tcPr>
            <w:tcW w:w="1368" w:type="dxa"/>
          </w:tcPr>
          <w:p w:rsidRPr="0081651A" w:rsidR="00A96CC4" w:rsidP="0081651A" w:rsidRDefault="00A96CC4" w14:paraId="450A3889" w14:textId="77777777">
            <w:pPr>
              <w:jc w:val="center"/>
              <w:cnfStyle w:val="000000000000" w:firstRow="0" w:lastRow="0" w:firstColumn="0" w:lastColumn="0" w:oddVBand="0" w:evenVBand="0" w:oddHBand="0" w:evenHBand="0" w:firstRowFirstColumn="0" w:firstRowLastColumn="0" w:lastRowFirstColumn="0" w:lastRowLastColumn="0"/>
              <w:rPr>
                <w:b/>
                <w:bCs/>
              </w:rPr>
            </w:pPr>
            <w:r w:rsidRPr="0081651A">
              <w:rPr>
                <w:b/>
                <w:bCs/>
              </w:rPr>
              <w:t>13.2M</w:t>
            </w:r>
          </w:p>
        </w:tc>
        <w:tc>
          <w:tcPr>
            <w:tcW w:w="1054" w:type="dxa"/>
          </w:tcPr>
          <w:p w:rsidRPr="00F25457" w:rsidR="00A96CC4" w:rsidP="0081651A" w:rsidRDefault="004308A2" w14:paraId="3427CB11" w14:textId="0BF5B0A5">
            <w:pPr>
              <w:pStyle w:val="ListParagraph"/>
              <w:ind w:left="0"/>
              <w:jc w:val="center"/>
              <w:cnfStyle w:val="000000000000" w:firstRow="0" w:lastRow="0" w:firstColumn="0" w:lastColumn="0" w:oddVBand="0" w:evenVBand="0" w:oddHBand="0" w:evenHBand="0" w:firstRowFirstColumn="0" w:firstRowLastColumn="0" w:lastRowFirstColumn="0" w:lastRowLastColumn="0"/>
            </w:pPr>
            <w:r>
              <w:t>35</w:t>
            </w:r>
            <w:r w:rsidRPr="00F25457" w:rsidR="00A96CC4">
              <w:t>%</w:t>
            </w:r>
          </w:p>
        </w:tc>
        <w:tc>
          <w:tcPr>
            <w:tcW w:w="1108" w:type="dxa"/>
          </w:tcPr>
          <w:p w:rsidRPr="0081651A" w:rsidR="00A96CC4" w:rsidP="00A96CC4" w:rsidRDefault="00A96CC4" w14:paraId="75A62935"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r w:rsidRPr="0081651A">
              <w:rPr>
                <w:b/>
                <w:bCs/>
              </w:rPr>
              <w:t>1.63BN</w:t>
            </w:r>
          </w:p>
        </w:tc>
        <w:tc>
          <w:tcPr>
            <w:tcW w:w="1055" w:type="dxa"/>
            <w:tcBorders>
              <w:right w:val="single" w:color="auto" w:sz="4" w:space="0"/>
            </w:tcBorders>
          </w:tcPr>
          <w:p w:rsidRPr="005374CC" w:rsidR="00A96CC4" w:rsidP="00A96CC4" w:rsidRDefault="00A96CC4" w14:paraId="0287D4E3"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i/>
                <w:iCs/>
                <w:sz w:val="14"/>
                <w:szCs w:val="14"/>
              </w:rPr>
            </w:pPr>
            <w:r w:rsidRPr="000E0A2F">
              <w:t>41%</w:t>
            </w:r>
          </w:p>
        </w:tc>
        <w:tc>
          <w:tcPr>
            <w:tcW w:w="974" w:type="dxa"/>
            <w:vMerge/>
            <w:tcBorders>
              <w:top w:val="single" w:color="auto" w:sz="4" w:space="0"/>
              <w:left w:val="single" w:color="auto" w:sz="4" w:space="0"/>
              <w:bottom w:val="single" w:color="auto" w:sz="4" w:space="0"/>
              <w:right w:val="single" w:color="auto" w:sz="4" w:space="0"/>
            </w:tcBorders>
          </w:tcPr>
          <w:p w:rsidR="00A96CC4" w:rsidDel="003C3274" w:rsidP="00A96CC4" w:rsidRDefault="00A96CC4" w14:paraId="2FFEBB0B"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p>
        </w:tc>
        <w:tc>
          <w:tcPr>
            <w:tcW w:w="770" w:type="dxa"/>
            <w:vMerge/>
            <w:tcBorders>
              <w:top w:val="single" w:color="auto" w:sz="4" w:space="0"/>
              <w:left w:val="single" w:color="auto" w:sz="4" w:space="0"/>
              <w:bottom w:val="single" w:color="auto" w:sz="4" w:space="0"/>
              <w:right w:val="single" w:color="auto" w:sz="4" w:space="0"/>
            </w:tcBorders>
          </w:tcPr>
          <w:p w:rsidR="00A96CC4" w:rsidP="00A96CC4" w:rsidRDefault="00A96CC4" w14:paraId="5A5A5FC7"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p>
        </w:tc>
      </w:tr>
    </w:tbl>
    <w:p w:rsidRPr="0081651A" w:rsidR="00945D98" w:rsidP="00EA1163" w:rsidRDefault="00945D98" w14:paraId="03B06C58" w14:textId="77777777">
      <w:pPr>
        <w:pStyle w:val="ListParagraph"/>
        <w:numPr>
          <w:ilvl w:val="0"/>
          <w:numId w:val="34"/>
        </w:numPr>
        <w:spacing w:after="160"/>
        <w:contextualSpacing/>
        <w:rPr>
          <w:b/>
          <w:bCs/>
          <w:sz w:val="20"/>
          <w:szCs w:val="20"/>
        </w:rPr>
      </w:pPr>
      <w:r w:rsidRPr="0081651A">
        <w:rPr>
          <w:b/>
          <w:bCs/>
          <w:sz w:val="20"/>
          <w:szCs w:val="20"/>
        </w:rPr>
        <w:t>2021 Key figures</w:t>
      </w:r>
    </w:p>
    <w:p w:rsidR="00945D98" w:rsidP="00945D98" w:rsidRDefault="00945D98" w14:paraId="1D41AD13" w14:textId="77777777">
      <w:pPr>
        <w:pStyle w:val="ListParagraph"/>
        <w:ind w:left="360"/>
        <w:rPr>
          <w:b/>
          <w:bCs/>
        </w:rPr>
      </w:pPr>
    </w:p>
    <w:p w:rsidRPr="00B5252D" w:rsidR="00945D98" w:rsidP="00EA1163" w:rsidRDefault="00945D98" w14:paraId="0B8008F2" w14:textId="7D95B0D7">
      <w:pPr>
        <w:pStyle w:val="ListParagraph"/>
        <w:numPr>
          <w:ilvl w:val="0"/>
          <w:numId w:val="34"/>
        </w:numPr>
        <w:spacing w:after="160"/>
        <w:contextualSpacing/>
        <w:jc w:val="both"/>
        <w:rPr>
          <w:lang w:val="en-GB"/>
        </w:rPr>
      </w:pPr>
      <w:bookmarkStart w:name="_Hlk73865541" w:id="3"/>
      <w:r w:rsidRPr="00B5252D">
        <w:rPr>
          <w:b/>
          <w:bCs/>
          <w:sz w:val="20"/>
          <w:szCs w:val="20"/>
        </w:rPr>
        <w:t xml:space="preserve">Critical sector priorities in 2021:   </w:t>
      </w:r>
    </w:p>
    <w:p w:rsidR="00945D98" w:rsidP="00945D98" w:rsidRDefault="00945D98" w14:paraId="49E3EEE6" w14:textId="77777777">
      <w:pPr>
        <w:pStyle w:val="ListParagraph"/>
        <w:ind w:left="360"/>
        <w:rPr>
          <w:iCs/>
          <w:color w:val="000000" w:themeColor="text1"/>
          <w:sz w:val="20"/>
          <w:szCs w:val="20"/>
          <w:lang w:val="en-GB"/>
        </w:rPr>
      </w:pPr>
    </w:p>
    <w:p w:rsidRPr="00B5252D" w:rsidR="00945D98" w:rsidP="00EA1163" w:rsidRDefault="00945D98" w14:paraId="603765C1" w14:textId="77777777">
      <w:pPr>
        <w:pStyle w:val="ListParagraph"/>
        <w:numPr>
          <w:ilvl w:val="0"/>
          <w:numId w:val="33"/>
        </w:numPr>
        <w:spacing w:after="160"/>
        <w:contextualSpacing/>
        <w:jc w:val="both"/>
        <w:rPr>
          <w:color w:val="000000" w:themeColor="text1"/>
          <w:sz w:val="20"/>
          <w:szCs w:val="20"/>
        </w:rPr>
      </w:pPr>
      <w:r w:rsidRPr="00B5252D">
        <w:rPr>
          <w:iCs/>
          <w:color w:val="000000" w:themeColor="text1"/>
          <w:sz w:val="20"/>
          <w:szCs w:val="20"/>
          <w:lang w:val="en-GB"/>
        </w:rPr>
        <w:t xml:space="preserve">Agriculture and livelihood support reached 3.7 million people across Syria, reaching only 51% of the target under this response priority. Support from Turkey assisted 1.3 million while from Iraq 1.1 million people. </w:t>
      </w:r>
    </w:p>
    <w:p w:rsidRPr="00B5252D" w:rsidR="00945D98" w:rsidP="00EA1163" w:rsidRDefault="00945D98" w14:paraId="45E154D3" w14:textId="77777777">
      <w:pPr>
        <w:pStyle w:val="ListParagraph"/>
        <w:numPr>
          <w:ilvl w:val="0"/>
          <w:numId w:val="33"/>
        </w:numPr>
        <w:spacing w:after="160"/>
        <w:contextualSpacing/>
        <w:jc w:val="both"/>
        <w:rPr>
          <w:color w:val="000000" w:themeColor="text1"/>
          <w:sz w:val="20"/>
          <w:szCs w:val="20"/>
        </w:rPr>
      </w:pPr>
      <w:r w:rsidRPr="00B5252D">
        <w:rPr>
          <w:iCs/>
          <w:color w:val="000000" w:themeColor="text1"/>
          <w:sz w:val="20"/>
          <w:szCs w:val="20"/>
          <w:lang w:val="en-GB"/>
        </w:rPr>
        <w:t>Low coverage of emergency agriculture-based interventions in 2020 primarily attributable to funding</w:t>
      </w:r>
      <w:r w:rsidRPr="00B5252D">
        <w:rPr>
          <w:bCs/>
          <w:iCs/>
          <w:color w:val="000000" w:themeColor="text1"/>
          <w:sz w:val="20"/>
          <w:szCs w:val="20"/>
          <w:lang w:val="en-GB"/>
        </w:rPr>
        <w:t xml:space="preserve"> limitations, has contributed to the increased and persistent high number of people in need as a significant proportion of the population has fallen from being at risk to becoming food insecure into being food insecure and becoming dependent on humanitarian food assistance.</w:t>
      </w:r>
    </w:p>
    <w:p w:rsidRPr="00B5252D" w:rsidR="00945D98" w:rsidP="00EA1163" w:rsidRDefault="00945D98" w14:paraId="707FFAEA" w14:textId="7D3DD0A4">
      <w:pPr>
        <w:pStyle w:val="ListParagraph"/>
        <w:numPr>
          <w:ilvl w:val="0"/>
          <w:numId w:val="33"/>
        </w:numPr>
        <w:spacing w:after="160"/>
        <w:contextualSpacing/>
        <w:jc w:val="both"/>
        <w:rPr>
          <w:color w:val="000000" w:themeColor="text1"/>
          <w:sz w:val="20"/>
          <w:szCs w:val="20"/>
        </w:rPr>
      </w:pPr>
      <w:r w:rsidRPr="00B5252D">
        <w:rPr>
          <w:bCs/>
          <w:iCs/>
          <w:color w:val="000000" w:themeColor="text1"/>
          <w:sz w:val="20"/>
          <w:szCs w:val="20"/>
          <w:lang w:val="en-GB"/>
        </w:rPr>
        <w:t>Further loss of employment and other economic opportunities due to the rampant economic crisis across all of Syria, triggered by the Lebanese financial crisis, and compounded by unilateral coercive measures, the Covid19 pandemic as well as the ongoing conflict in (NWS) and other parts of Syria and re-emergence of ISIS in NES, have further contributed to loss of livelihoods and increasing numbers of people suffering from food insecurity.</w:t>
      </w:r>
    </w:p>
    <w:bookmarkEnd w:id="3"/>
    <w:p w:rsidR="0080197C" w:rsidP="00EA1163" w:rsidRDefault="0080197C" w14:paraId="6792718C" w14:textId="77777777">
      <w:pPr>
        <w:pStyle w:val="ListParagraph"/>
        <w:spacing w:after="160"/>
        <w:ind w:left="360"/>
        <w:contextualSpacing/>
        <w:jc w:val="both"/>
        <w:rPr>
          <w:b/>
          <w:bCs/>
          <w:sz w:val="20"/>
          <w:szCs w:val="20"/>
        </w:rPr>
      </w:pPr>
    </w:p>
    <w:p w:rsidRPr="001109A9" w:rsidR="00945D98" w:rsidP="00EA1163" w:rsidRDefault="00857C10" w14:paraId="1E1B5A96" w14:textId="3134F77C">
      <w:pPr>
        <w:pStyle w:val="ListParagraph"/>
        <w:numPr>
          <w:ilvl w:val="0"/>
          <w:numId w:val="34"/>
        </w:numPr>
        <w:spacing w:after="160"/>
        <w:contextualSpacing/>
        <w:jc w:val="both"/>
        <w:rPr>
          <w:b/>
        </w:rPr>
      </w:pPr>
      <w:r w:rsidRPr="00CB54B6">
        <w:rPr>
          <w:b/>
          <w:bCs/>
          <w:sz w:val="20"/>
          <w:szCs w:val="20"/>
        </w:rPr>
        <w:t xml:space="preserve">Most significant response gaps </w:t>
      </w:r>
      <w:r w:rsidRPr="00F25457" w:rsidR="00945D98">
        <w:rPr>
          <w:b/>
          <w:bCs/>
          <w:sz w:val="20"/>
          <w:szCs w:val="20"/>
        </w:rPr>
        <w:t xml:space="preserve">in </w:t>
      </w:r>
      <w:r w:rsidRPr="00CB54B6">
        <w:rPr>
          <w:b/>
          <w:bCs/>
          <w:sz w:val="20"/>
          <w:szCs w:val="20"/>
        </w:rPr>
        <w:t xml:space="preserve">2020: </w:t>
      </w:r>
    </w:p>
    <w:p w:rsidRPr="001109A9" w:rsidR="00945D98" w:rsidP="00EA1163" w:rsidRDefault="00945D98" w14:paraId="1A6EDEC6" w14:textId="538CEDE3">
      <w:pPr>
        <w:pStyle w:val="ListParagraph"/>
        <w:numPr>
          <w:ilvl w:val="0"/>
          <w:numId w:val="33"/>
        </w:numPr>
        <w:spacing w:after="160"/>
        <w:contextualSpacing/>
        <w:jc w:val="both"/>
        <w:rPr>
          <w:sz w:val="20"/>
          <w:szCs w:val="20"/>
        </w:rPr>
      </w:pPr>
      <w:r w:rsidRPr="001109A9">
        <w:rPr>
          <w:sz w:val="20"/>
          <w:szCs w:val="20"/>
        </w:rPr>
        <w:t xml:space="preserve">The sector will increase the provision of emergency food assistance through in-kind, cash and voucher, to </w:t>
      </w:r>
      <w:r w:rsidRPr="0080197C">
        <w:rPr>
          <w:sz w:val="20"/>
          <w:szCs w:val="20"/>
        </w:rPr>
        <w:t>8.</w:t>
      </w:r>
      <w:r w:rsidR="0080197C">
        <w:rPr>
          <w:sz w:val="20"/>
          <w:szCs w:val="20"/>
        </w:rPr>
        <w:t>8</w:t>
      </w:r>
      <w:r w:rsidRPr="001109A9">
        <w:rPr>
          <w:sz w:val="20"/>
          <w:szCs w:val="20"/>
        </w:rPr>
        <w:t xml:space="preserve"> million people out of the 12.4 million facing acute food insecurity</w:t>
      </w:r>
      <w:r w:rsidR="0080197C">
        <w:rPr>
          <w:sz w:val="20"/>
          <w:szCs w:val="20"/>
        </w:rPr>
        <w:t xml:space="preserve">, including </w:t>
      </w:r>
      <w:r w:rsidRPr="001109A9">
        <w:rPr>
          <w:sz w:val="20"/>
          <w:szCs w:val="20"/>
        </w:rPr>
        <w:t xml:space="preserve">newly food insecure caseloads in NES), NWS and </w:t>
      </w:r>
      <w:r w:rsidR="0080197C">
        <w:rPr>
          <w:sz w:val="20"/>
          <w:szCs w:val="20"/>
        </w:rPr>
        <w:t>southern</w:t>
      </w:r>
      <w:r w:rsidRPr="001109A9">
        <w:rPr>
          <w:sz w:val="20"/>
          <w:szCs w:val="20"/>
        </w:rPr>
        <w:t xml:space="preserve"> Syria</w:t>
      </w:r>
      <w:r w:rsidR="0080197C">
        <w:rPr>
          <w:sz w:val="20"/>
          <w:szCs w:val="20"/>
        </w:rPr>
        <w:t>.</w:t>
      </w:r>
    </w:p>
    <w:p w:rsidRPr="001109A9" w:rsidR="00945D98" w:rsidP="00EA1163" w:rsidRDefault="00945D98" w14:paraId="7FDDE057" w14:textId="77777777">
      <w:pPr>
        <w:pStyle w:val="ListParagraph"/>
        <w:numPr>
          <w:ilvl w:val="0"/>
          <w:numId w:val="33"/>
        </w:numPr>
        <w:spacing w:after="160"/>
        <w:contextualSpacing/>
        <w:jc w:val="both"/>
        <w:rPr>
          <w:sz w:val="20"/>
          <w:szCs w:val="20"/>
        </w:rPr>
      </w:pPr>
      <w:r w:rsidRPr="001109A9">
        <w:rPr>
          <w:sz w:val="20"/>
          <w:szCs w:val="20"/>
        </w:rPr>
        <w:t xml:space="preserve">The sector advocates for increased funding towards stabilizing food production by targeting 1.45 million HHs. Through increased funding, the sector will prioritize emergency agriculture-based interventions including provision of agricultural inputs and trainings to protect and restore self-reliance among food insecure populations.      </w:t>
      </w:r>
    </w:p>
    <w:p w:rsidRPr="00970AF3" w:rsidR="00F23FC9" w:rsidP="00EA1163" w:rsidRDefault="00945D98" w14:paraId="6E38E861" w14:textId="3C347DC2">
      <w:pPr>
        <w:pStyle w:val="ListParagraph"/>
        <w:numPr>
          <w:ilvl w:val="0"/>
          <w:numId w:val="33"/>
        </w:numPr>
        <w:spacing w:after="160"/>
        <w:contextualSpacing/>
        <w:jc w:val="both"/>
        <w:rPr>
          <w:sz w:val="20"/>
          <w:szCs w:val="20"/>
        </w:rPr>
      </w:pPr>
      <w:r>
        <w:rPr>
          <w:sz w:val="20"/>
          <w:szCs w:val="20"/>
        </w:rPr>
        <w:t>S</w:t>
      </w:r>
      <w:r w:rsidRPr="001109A9">
        <w:rPr>
          <w:sz w:val="20"/>
          <w:szCs w:val="20"/>
        </w:rPr>
        <w:t xml:space="preserve">caling-up support to the wheat value chain through light rehabilitation of relevant assets, such as community water systems and bakeries, to support the production of wheat and restore access to bread among the most vulnerable households. Other essential services to local communities proposed under this pillar include early warning and DRR systems. Overall, </w:t>
      </w:r>
      <w:r w:rsidRPr="0080197C">
        <w:rPr>
          <w:bCs/>
          <w:sz w:val="20"/>
          <w:szCs w:val="20"/>
        </w:rPr>
        <w:t xml:space="preserve">507,000 HHs </w:t>
      </w:r>
      <w:r w:rsidRPr="001109A9">
        <w:rPr>
          <w:bCs/>
          <w:sz w:val="20"/>
          <w:szCs w:val="20"/>
        </w:rPr>
        <w:t>will benefit from such interventions</w:t>
      </w:r>
      <w:r w:rsidRPr="001109A9">
        <w:rPr>
          <w:b/>
          <w:sz w:val="20"/>
          <w:szCs w:val="20"/>
        </w:rPr>
        <w:t>.</w:t>
      </w:r>
      <w:r w:rsidRPr="001109A9">
        <w:rPr>
          <w:sz w:val="20"/>
          <w:szCs w:val="20"/>
        </w:rPr>
        <w:t xml:space="preserve"> </w:t>
      </w:r>
    </w:p>
    <w:p w:rsidRPr="001109A9" w:rsidR="00F23FC9" w:rsidP="00945D98" w:rsidRDefault="00F23FC9" w14:paraId="2BC4A357" w14:textId="77777777">
      <w:pPr>
        <w:pStyle w:val="ListParagraph"/>
        <w:jc w:val="both"/>
        <w:rPr>
          <w:b/>
          <w:bCs/>
          <w:sz w:val="20"/>
          <w:szCs w:val="20"/>
        </w:rPr>
      </w:pPr>
    </w:p>
    <w:p w:rsidR="00A1206C" w:rsidP="00A1206C" w:rsidRDefault="00A1206C" w14:paraId="668DA063" w14:textId="77777777">
      <w:pPr>
        <w:pStyle w:val="ListParagraph"/>
        <w:ind w:left="360"/>
        <w:rPr>
          <w:b/>
          <w:bCs/>
          <w:sz w:val="20"/>
          <w:szCs w:val="20"/>
        </w:rPr>
      </w:pPr>
    </w:p>
    <w:p w:rsidRPr="001109A9" w:rsidR="00945D98" w:rsidP="00F23FC9" w:rsidRDefault="00945D98" w14:paraId="38E2FB25" w14:textId="2920A153">
      <w:pPr>
        <w:pStyle w:val="ListParagraph"/>
        <w:numPr>
          <w:ilvl w:val="0"/>
          <w:numId w:val="34"/>
        </w:numPr>
      </w:pPr>
      <w:r w:rsidRPr="005374CC">
        <w:rPr>
          <w:b/>
          <w:bCs/>
          <w:sz w:val="20"/>
          <w:szCs w:val="20"/>
        </w:rPr>
        <w:t xml:space="preserve">Key messages to donors as at June 2021 (which the HCs could help amplify): </w:t>
      </w:r>
    </w:p>
    <w:p w:rsidRPr="00F25457" w:rsidR="00945D98" w:rsidP="00EA1163" w:rsidRDefault="00945D98" w14:paraId="6714010B" w14:textId="18F5172D">
      <w:pPr>
        <w:pStyle w:val="ListParagraph"/>
        <w:numPr>
          <w:ilvl w:val="0"/>
          <w:numId w:val="33"/>
        </w:numPr>
        <w:spacing w:after="160"/>
        <w:contextualSpacing/>
        <w:jc w:val="both"/>
        <w:rPr>
          <w:sz w:val="20"/>
          <w:szCs w:val="20"/>
        </w:rPr>
      </w:pPr>
      <w:r w:rsidRPr="001109A9">
        <w:rPr>
          <w:sz w:val="20"/>
          <w:szCs w:val="20"/>
        </w:rPr>
        <w:t xml:space="preserve">Since 2020 food insecurity in Syria increased by 57%, bringing the number of people in need from 7.9 million to a </w:t>
      </w:r>
      <w:r w:rsidRPr="00B5252D">
        <w:rPr>
          <w:sz w:val="20"/>
          <w:szCs w:val="20"/>
        </w:rPr>
        <w:t xml:space="preserve">staggering 12.4 million in 2021. There is </w:t>
      </w:r>
      <w:r w:rsidRPr="00F25457">
        <w:rPr>
          <w:sz w:val="20"/>
          <w:szCs w:val="20"/>
        </w:rPr>
        <w:t>urgent need to scale up humanitarian assistance</w:t>
      </w:r>
      <w:r w:rsidRPr="00B5252D">
        <w:rPr>
          <w:sz w:val="20"/>
          <w:szCs w:val="20"/>
        </w:rPr>
        <w:t xml:space="preserve"> and address immediate food needs. This is critical owing to the dire economic conditions and the knock-on effects of COVID-19 and impact of the protracted crisis on food stability.  </w:t>
      </w:r>
    </w:p>
    <w:p w:rsidRPr="00F25457" w:rsidR="00945D98" w:rsidP="00EA1163" w:rsidRDefault="00945D98" w14:paraId="035C7704" w14:textId="5410FF05">
      <w:pPr>
        <w:pStyle w:val="ListParagraph"/>
        <w:numPr>
          <w:ilvl w:val="0"/>
          <w:numId w:val="33"/>
        </w:numPr>
        <w:spacing w:after="160"/>
        <w:contextualSpacing/>
        <w:jc w:val="both"/>
        <w:rPr>
          <w:sz w:val="20"/>
          <w:szCs w:val="20"/>
        </w:rPr>
      </w:pPr>
      <w:r w:rsidRPr="00B5252D">
        <w:rPr>
          <w:sz w:val="20"/>
          <w:szCs w:val="20"/>
        </w:rPr>
        <w:t xml:space="preserve">There is </w:t>
      </w:r>
      <w:r w:rsidR="0080197C">
        <w:rPr>
          <w:sz w:val="20"/>
          <w:szCs w:val="20"/>
        </w:rPr>
        <w:t xml:space="preserve">a </w:t>
      </w:r>
      <w:r w:rsidRPr="00B5252D">
        <w:rPr>
          <w:sz w:val="20"/>
          <w:szCs w:val="20"/>
        </w:rPr>
        <w:t xml:space="preserve">need to </w:t>
      </w:r>
      <w:r w:rsidRPr="00F25457">
        <w:rPr>
          <w:sz w:val="20"/>
          <w:szCs w:val="20"/>
        </w:rPr>
        <w:t xml:space="preserve">enhance the focus </w:t>
      </w:r>
      <w:r w:rsidR="0080197C">
        <w:rPr>
          <w:sz w:val="20"/>
          <w:szCs w:val="20"/>
        </w:rPr>
        <w:t>on</w:t>
      </w:r>
      <w:r w:rsidRPr="00F25457">
        <w:rPr>
          <w:sz w:val="20"/>
          <w:szCs w:val="20"/>
        </w:rPr>
        <w:t xml:space="preserve"> building and restoring livelihoods </w:t>
      </w:r>
      <w:r w:rsidRPr="00B5252D">
        <w:rPr>
          <w:sz w:val="20"/>
          <w:szCs w:val="20"/>
        </w:rPr>
        <w:t>in order to address food insecurity sustainably and reduce the needs for unconditional food assistance.</w:t>
      </w:r>
    </w:p>
    <w:p w:rsidRPr="00707A80" w:rsidR="00B877A0" w:rsidP="00EA1163" w:rsidRDefault="00945D98" w14:paraId="11A2D1CD" w14:textId="1EA81291">
      <w:pPr>
        <w:pStyle w:val="ListParagraph"/>
        <w:numPr>
          <w:ilvl w:val="0"/>
          <w:numId w:val="33"/>
        </w:numPr>
        <w:spacing w:after="160"/>
        <w:contextualSpacing/>
        <w:jc w:val="both"/>
        <w:rPr>
          <w:sz w:val="20"/>
          <w:szCs w:val="20"/>
        </w:rPr>
      </w:pPr>
      <w:r w:rsidRPr="00B5252D">
        <w:rPr>
          <w:sz w:val="20"/>
          <w:szCs w:val="20"/>
        </w:rPr>
        <w:t xml:space="preserve">It is of paramount importance to </w:t>
      </w:r>
      <w:r w:rsidRPr="00F25457">
        <w:rPr>
          <w:sz w:val="20"/>
          <w:szCs w:val="20"/>
        </w:rPr>
        <w:t>ensure the continued opening of border crossings</w:t>
      </w:r>
      <w:r w:rsidRPr="00B5252D">
        <w:rPr>
          <w:sz w:val="20"/>
          <w:szCs w:val="20"/>
        </w:rPr>
        <w:t xml:space="preserve"> to facilitate the delivery of humanitarian aid to millions of people in NES &amp; NWE and support the local markets through </w:t>
      </w:r>
      <w:proofErr w:type="gramStart"/>
      <w:r w:rsidRPr="00B5252D">
        <w:rPr>
          <w:sz w:val="20"/>
          <w:szCs w:val="20"/>
        </w:rPr>
        <w:t>cash based</w:t>
      </w:r>
      <w:proofErr w:type="gramEnd"/>
      <w:r w:rsidRPr="00B5252D">
        <w:rPr>
          <w:sz w:val="20"/>
          <w:szCs w:val="20"/>
        </w:rPr>
        <w:t xml:space="preserve"> assistance, where feasible.</w:t>
      </w:r>
    </w:p>
    <w:p w:rsidRPr="00693B15" w:rsidR="00945D98" w:rsidP="00EA1163" w:rsidRDefault="00945D98" w14:paraId="42E968A4" w14:textId="4D0D4B94">
      <w:pPr>
        <w:spacing w:line="240" w:lineRule="auto"/>
        <w:rPr>
          <w:b/>
          <w:bCs/>
          <w:sz w:val="20"/>
          <w:szCs w:val="20"/>
        </w:rPr>
      </w:pPr>
      <w:r w:rsidRPr="00693B15">
        <w:rPr>
          <w:b/>
          <w:bCs/>
          <w:sz w:val="20"/>
          <w:szCs w:val="20"/>
        </w:rPr>
        <w:t xml:space="preserve">Top appealing organizations in the sector: </w:t>
      </w:r>
    </w:p>
    <w:p w:rsidR="00945D98" w:rsidP="00945D98" w:rsidRDefault="00945D98" w14:paraId="3873E282" w14:textId="77777777">
      <w:pPr>
        <w:pStyle w:val="ListParagraph"/>
        <w:ind w:left="360"/>
        <w:jc w:val="both"/>
      </w:pPr>
    </w:p>
    <w:tbl>
      <w:tblPr>
        <w:tblW w:w="10691" w:type="dxa"/>
        <w:tblLook w:val="04A0" w:firstRow="1" w:lastRow="0" w:firstColumn="1" w:lastColumn="0" w:noHBand="0" w:noVBand="1"/>
      </w:tblPr>
      <w:tblGrid>
        <w:gridCol w:w="2050"/>
        <w:gridCol w:w="1231"/>
        <w:gridCol w:w="1108"/>
        <w:gridCol w:w="1231"/>
        <w:gridCol w:w="888"/>
        <w:gridCol w:w="4183"/>
      </w:tblGrid>
      <w:tr w:rsidRPr="00042C1E" w:rsidR="00042C1E" w:rsidTr="00495BE0" w14:paraId="4C99BC9F" w14:textId="77777777">
        <w:trPr>
          <w:trHeight w:val="426"/>
        </w:trPr>
        <w:tc>
          <w:tcPr>
            <w:tcW w:w="2050" w:type="dxa"/>
            <w:tcBorders>
              <w:top w:val="single" w:color="4472C4" w:sz="4" w:space="0"/>
              <w:left w:val="single" w:color="4472C4" w:sz="4" w:space="0"/>
              <w:bottom w:val="nil"/>
              <w:right w:val="nil"/>
            </w:tcBorders>
            <w:shd w:val="clear" w:color="4472C4" w:fill="4472C4"/>
            <w:vAlign w:val="center"/>
            <w:hideMark/>
          </w:tcPr>
          <w:p w:rsidRPr="00042C1E" w:rsidR="00042C1E" w:rsidP="00042C1E" w:rsidRDefault="00042C1E" w14:paraId="6B5ED4DE" w14:textId="77777777">
            <w:pPr>
              <w:spacing w:after="0" w:line="240" w:lineRule="auto"/>
              <w:rPr>
                <w:rFonts w:ascii="Calibri" w:hAnsi="Calibri" w:eastAsia="Times New Roman" w:cs="Times New Roman"/>
                <w:b/>
                <w:bCs/>
                <w:color w:val="FFFFFF"/>
                <w:sz w:val="18"/>
                <w:szCs w:val="18"/>
                <w:lang w:eastAsia="zh-CN"/>
              </w:rPr>
            </w:pPr>
            <w:r w:rsidRPr="00042C1E">
              <w:rPr>
                <w:rFonts w:ascii="Calibri" w:hAnsi="Calibri" w:eastAsia="Times New Roman" w:cs="Times New Roman"/>
                <w:b/>
                <w:bCs/>
                <w:color w:val="FFFFFF"/>
                <w:sz w:val="18"/>
                <w:szCs w:val="18"/>
                <w:lang w:eastAsia="zh-CN"/>
              </w:rPr>
              <w:t>Organizations</w:t>
            </w:r>
          </w:p>
        </w:tc>
        <w:tc>
          <w:tcPr>
            <w:tcW w:w="1231" w:type="dxa"/>
            <w:tcBorders>
              <w:top w:val="single" w:color="4472C4" w:sz="4" w:space="0"/>
              <w:left w:val="nil"/>
              <w:bottom w:val="nil"/>
              <w:right w:val="nil"/>
            </w:tcBorders>
            <w:shd w:val="clear" w:color="4472C4" w:fill="4472C4"/>
            <w:vAlign w:val="bottom"/>
            <w:hideMark/>
          </w:tcPr>
          <w:p w:rsidRPr="00042C1E" w:rsidR="00042C1E" w:rsidP="00042C1E" w:rsidRDefault="00042C1E" w14:paraId="30193A64" w14:textId="77777777">
            <w:pPr>
              <w:spacing w:after="0" w:line="240" w:lineRule="auto"/>
              <w:jc w:val="right"/>
              <w:rPr>
                <w:rFonts w:ascii="Calibri" w:hAnsi="Calibri" w:eastAsia="Times New Roman" w:cs="Times New Roman"/>
                <w:b/>
                <w:bCs/>
                <w:color w:val="FFFFFF"/>
                <w:sz w:val="18"/>
                <w:szCs w:val="18"/>
                <w:lang w:eastAsia="zh-CN"/>
              </w:rPr>
            </w:pPr>
            <w:r w:rsidRPr="00042C1E">
              <w:rPr>
                <w:rFonts w:ascii="Calibri" w:hAnsi="Calibri" w:eastAsia="Times New Roman" w:cs="Times New Roman"/>
                <w:b/>
                <w:bCs/>
                <w:color w:val="FFFFFF"/>
                <w:sz w:val="18"/>
                <w:szCs w:val="18"/>
                <w:lang w:eastAsia="zh-CN"/>
              </w:rPr>
              <w:t xml:space="preserve"> 2020 requirements US$ </w:t>
            </w:r>
          </w:p>
        </w:tc>
        <w:tc>
          <w:tcPr>
            <w:tcW w:w="1108" w:type="dxa"/>
            <w:tcBorders>
              <w:top w:val="single" w:color="4472C4" w:sz="4" w:space="0"/>
              <w:left w:val="nil"/>
              <w:bottom w:val="nil"/>
              <w:right w:val="nil"/>
            </w:tcBorders>
            <w:shd w:val="clear" w:color="4472C4" w:fill="4472C4"/>
            <w:vAlign w:val="bottom"/>
            <w:hideMark/>
          </w:tcPr>
          <w:p w:rsidRPr="00042C1E" w:rsidR="00042C1E" w:rsidP="00042C1E" w:rsidRDefault="00042C1E" w14:paraId="52E1DDFA" w14:textId="77777777">
            <w:pPr>
              <w:spacing w:after="0" w:line="240" w:lineRule="auto"/>
              <w:jc w:val="right"/>
              <w:rPr>
                <w:rFonts w:ascii="Calibri" w:hAnsi="Calibri" w:eastAsia="Times New Roman" w:cs="Times New Roman"/>
                <w:b/>
                <w:bCs/>
                <w:color w:val="FFFFFF"/>
                <w:sz w:val="18"/>
                <w:szCs w:val="18"/>
                <w:lang w:eastAsia="zh-CN"/>
              </w:rPr>
            </w:pPr>
            <w:r w:rsidRPr="00042C1E">
              <w:rPr>
                <w:rFonts w:ascii="Calibri" w:hAnsi="Calibri" w:eastAsia="Times New Roman" w:cs="Times New Roman"/>
                <w:b/>
                <w:bCs/>
                <w:color w:val="FFFFFF"/>
                <w:sz w:val="18"/>
                <w:szCs w:val="18"/>
                <w:lang w:eastAsia="zh-CN"/>
              </w:rPr>
              <w:t xml:space="preserve">2020 </w:t>
            </w:r>
            <w:r w:rsidRPr="00042C1E">
              <w:rPr>
                <w:rFonts w:ascii="Calibri" w:hAnsi="Calibri" w:eastAsia="Times New Roman" w:cs="Times New Roman"/>
                <w:b/>
                <w:bCs/>
                <w:color w:val="FFFFFF"/>
                <w:sz w:val="18"/>
                <w:szCs w:val="18"/>
                <w:lang w:eastAsia="zh-CN"/>
              </w:rPr>
              <w:br/>
            </w:r>
            <w:r w:rsidRPr="00042C1E">
              <w:rPr>
                <w:rFonts w:ascii="Calibri" w:hAnsi="Calibri" w:eastAsia="Times New Roman" w:cs="Times New Roman"/>
                <w:b/>
                <w:bCs/>
                <w:color w:val="FFFFFF"/>
                <w:sz w:val="18"/>
                <w:szCs w:val="18"/>
                <w:lang w:eastAsia="zh-CN"/>
              </w:rPr>
              <w:t>Coverage %</w:t>
            </w:r>
          </w:p>
        </w:tc>
        <w:tc>
          <w:tcPr>
            <w:tcW w:w="1231" w:type="dxa"/>
            <w:tcBorders>
              <w:top w:val="single" w:color="4472C4" w:sz="4" w:space="0"/>
              <w:left w:val="nil"/>
              <w:bottom w:val="nil"/>
              <w:right w:val="nil"/>
            </w:tcBorders>
            <w:shd w:val="clear" w:color="4472C4" w:fill="4472C4"/>
            <w:vAlign w:val="bottom"/>
            <w:hideMark/>
          </w:tcPr>
          <w:p w:rsidRPr="00042C1E" w:rsidR="00042C1E" w:rsidP="00042C1E" w:rsidRDefault="00042C1E" w14:paraId="3E0D9CE2" w14:textId="77777777">
            <w:pPr>
              <w:spacing w:after="0" w:line="240" w:lineRule="auto"/>
              <w:jc w:val="right"/>
              <w:rPr>
                <w:rFonts w:ascii="Calibri" w:hAnsi="Calibri" w:eastAsia="Times New Roman" w:cs="Times New Roman"/>
                <w:b/>
                <w:bCs/>
                <w:color w:val="FFFFFF"/>
                <w:sz w:val="18"/>
                <w:szCs w:val="18"/>
                <w:lang w:eastAsia="zh-CN"/>
              </w:rPr>
            </w:pPr>
            <w:r w:rsidRPr="00042C1E">
              <w:rPr>
                <w:rFonts w:ascii="Calibri" w:hAnsi="Calibri" w:eastAsia="Times New Roman" w:cs="Times New Roman"/>
                <w:b/>
                <w:bCs/>
                <w:color w:val="FFFFFF"/>
                <w:sz w:val="18"/>
                <w:szCs w:val="18"/>
                <w:lang w:eastAsia="zh-CN"/>
              </w:rPr>
              <w:t xml:space="preserve"> 2021 requirements US$ </w:t>
            </w:r>
          </w:p>
        </w:tc>
        <w:tc>
          <w:tcPr>
            <w:tcW w:w="888" w:type="dxa"/>
            <w:tcBorders>
              <w:top w:val="single" w:color="4472C4" w:sz="4" w:space="0"/>
              <w:left w:val="nil"/>
              <w:bottom w:val="nil"/>
              <w:right w:val="nil"/>
            </w:tcBorders>
            <w:shd w:val="clear" w:color="4472C4" w:fill="4472C4"/>
            <w:vAlign w:val="bottom"/>
            <w:hideMark/>
          </w:tcPr>
          <w:p w:rsidRPr="00042C1E" w:rsidR="00042C1E" w:rsidP="00042C1E" w:rsidRDefault="00042C1E" w14:paraId="2B485482" w14:textId="77777777">
            <w:pPr>
              <w:spacing w:after="0" w:line="240" w:lineRule="auto"/>
              <w:jc w:val="right"/>
              <w:rPr>
                <w:rFonts w:ascii="Calibri" w:hAnsi="Calibri" w:eastAsia="Times New Roman" w:cs="Times New Roman"/>
                <w:b/>
                <w:bCs/>
                <w:color w:val="FFFFFF"/>
                <w:sz w:val="18"/>
                <w:szCs w:val="18"/>
                <w:lang w:eastAsia="zh-CN"/>
              </w:rPr>
            </w:pPr>
            <w:r w:rsidRPr="00042C1E">
              <w:rPr>
                <w:rFonts w:ascii="Calibri" w:hAnsi="Calibri" w:eastAsia="Times New Roman" w:cs="Times New Roman"/>
                <w:b/>
                <w:bCs/>
                <w:color w:val="FFFFFF"/>
                <w:sz w:val="18"/>
                <w:szCs w:val="18"/>
                <w:lang w:eastAsia="zh-CN"/>
              </w:rPr>
              <w:t>% variation to 2020</w:t>
            </w:r>
          </w:p>
        </w:tc>
        <w:tc>
          <w:tcPr>
            <w:tcW w:w="4183" w:type="dxa"/>
            <w:tcBorders>
              <w:top w:val="single" w:color="4472C4" w:sz="4" w:space="0"/>
              <w:left w:val="nil"/>
              <w:bottom w:val="nil"/>
              <w:right w:val="single" w:color="4472C4" w:sz="4" w:space="0"/>
            </w:tcBorders>
            <w:shd w:val="clear" w:color="4472C4" w:fill="4472C4"/>
            <w:vAlign w:val="bottom"/>
            <w:hideMark/>
          </w:tcPr>
          <w:p w:rsidRPr="00042C1E" w:rsidR="00042C1E" w:rsidP="00042C1E" w:rsidRDefault="00042C1E" w14:paraId="10DEC0DE" w14:textId="77777777">
            <w:pPr>
              <w:spacing w:after="0" w:line="240" w:lineRule="auto"/>
              <w:rPr>
                <w:rFonts w:ascii="Calibri" w:hAnsi="Calibri" w:eastAsia="Times New Roman" w:cs="Times New Roman"/>
                <w:b/>
                <w:bCs/>
                <w:color w:val="FFFFFF"/>
                <w:sz w:val="18"/>
                <w:szCs w:val="18"/>
                <w:lang w:eastAsia="zh-CN"/>
              </w:rPr>
            </w:pPr>
            <w:r w:rsidRPr="00042C1E">
              <w:rPr>
                <w:rFonts w:ascii="Calibri" w:hAnsi="Calibri" w:eastAsia="Times New Roman" w:cs="Times New Roman"/>
                <w:b/>
                <w:bCs/>
                <w:color w:val="FFFFFF"/>
                <w:sz w:val="18"/>
                <w:szCs w:val="18"/>
                <w:lang w:eastAsia="zh-CN"/>
              </w:rPr>
              <w:t xml:space="preserve"> Geographic coverage</w:t>
            </w:r>
            <w:r w:rsidRPr="00042C1E">
              <w:rPr>
                <w:rFonts w:ascii="Calibri" w:hAnsi="Calibri" w:eastAsia="Times New Roman" w:cs="Times New Roman"/>
                <w:b/>
                <w:bCs/>
                <w:color w:val="FFFFFF"/>
                <w:sz w:val="18"/>
                <w:szCs w:val="18"/>
                <w:lang w:eastAsia="zh-CN"/>
              </w:rPr>
              <w:br/>
            </w:r>
            <w:r w:rsidRPr="00042C1E">
              <w:rPr>
                <w:rFonts w:ascii="Calibri" w:hAnsi="Calibri" w:eastAsia="Times New Roman" w:cs="Times New Roman"/>
                <w:b/>
                <w:bCs/>
                <w:color w:val="FFFFFF"/>
                <w:sz w:val="18"/>
                <w:szCs w:val="18"/>
                <w:lang w:eastAsia="zh-CN"/>
              </w:rPr>
              <w:t xml:space="preserve">(main governorates) </w:t>
            </w:r>
          </w:p>
        </w:tc>
      </w:tr>
      <w:tr w:rsidRPr="00042C1E" w:rsidR="00042C1E" w:rsidTr="00495BE0" w14:paraId="4851194F" w14:textId="77777777">
        <w:trPr>
          <w:trHeight w:val="249"/>
        </w:trPr>
        <w:tc>
          <w:tcPr>
            <w:tcW w:w="2050" w:type="dxa"/>
            <w:tcBorders>
              <w:top w:val="single" w:color="4472C4" w:sz="4" w:space="0"/>
              <w:left w:val="single" w:color="4472C4" w:sz="4" w:space="0"/>
              <w:bottom w:val="nil"/>
              <w:right w:val="nil"/>
            </w:tcBorders>
            <w:shd w:val="clear" w:color="auto" w:fill="auto"/>
            <w:vAlign w:val="center"/>
            <w:hideMark/>
          </w:tcPr>
          <w:p w:rsidRPr="00042C1E" w:rsidR="00042C1E" w:rsidP="00042C1E" w:rsidRDefault="00042C1E" w14:paraId="40E5ED8A" w14:textId="77777777">
            <w:pPr>
              <w:spacing w:after="0" w:line="240" w:lineRule="auto"/>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xml:space="preserve">World Food </w:t>
            </w:r>
            <w:proofErr w:type="spellStart"/>
            <w:r w:rsidRPr="00042C1E">
              <w:rPr>
                <w:rFonts w:ascii="Calibri" w:hAnsi="Calibri" w:eastAsia="Times New Roman" w:cs="Times New Roman"/>
                <w:color w:val="000000"/>
                <w:sz w:val="18"/>
                <w:szCs w:val="18"/>
                <w:lang w:eastAsia="zh-CN"/>
              </w:rPr>
              <w:t>Programme</w:t>
            </w:r>
            <w:proofErr w:type="spellEnd"/>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4FD68F70"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xml:space="preserve">              696,678,493 </w:t>
            </w:r>
          </w:p>
        </w:tc>
        <w:tc>
          <w:tcPr>
            <w:tcW w:w="1108" w:type="dxa"/>
            <w:tcBorders>
              <w:top w:val="single" w:color="4472C4" w:sz="4" w:space="0"/>
              <w:left w:val="nil"/>
              <w:bottom w:val="nil"/>
              <w:right w:val="nil"/>
            </w:tcBorders>
            <w:shd w:val="clear" w:color="000000" w:fill="C6E0B4"/>
            <w:noWrap/>
            <w:vAlign w:val="bottom"/>
            <w:hideMark/>
          </w:tcPr>
          <w:p w:rsidRPr="00042C1E" w:rsidR="00042C1E" w:rsidP="00042C1E" w:rsidRDefault="00042C1E" w14:paraId="7549A063"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62%</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249AFAF7" w14:textId="77777777">
            <w:pPr>
              <w:spacing w:after="0" w:line="240" w:lineRule="auto"/>
              <w:jc w:val="right"/>
              <w:rPr>
                <w:rFonts w:ascii="Calibri" w:hAnsi="Calibri" w:eastAsia="Times New Roman" w:cs="Times New Roman"/>
                <w:b/>
                <w:bCs/>
                <w:color w:val="000000"/>
                <w:sz w:val="18"/>
                <w:szCs w:val="18"/>
                <w:lang w:eastAsia="zh-CN"/>
              </w:rPr>
            </w:pPr>
            <w:r w:rsidRPr="00042C1E">
              <w:rPr>
                <w:rFonts w:ascii="Calibri" w:hAnsi="Calibri" w:eastAsia="Times New Roman" w:cs="Times New Roman"/>
                <w:b/>
                <w:bCs/>
                <w:color w:val="000000"/>
                <w:sz w:val="18"/>
                <w:szCs w:val="18"/>
                <w:lang w:eastAsia="zh-CN"/>
              </w:rPr>
              <w:t xml:space="preserve">              919,786,082 </w:t>
            </w:r>
          </w:p>
        </w:tc>
        <w:tc>
          <w:tcPr>
            <w:tcW w:w="888" w:type="dxa"/>
            <w:tcBorders>
              <w:top w:val="single" w:color="4472C4" w:sz="4" w:space="0"/>
              <w:left w:val="nil"/>
              <w:bottom w:val="nil"/>
              <w:right w:val="nil"/>
            </w:tcBorders>
            <w:shd w:val="clear" w:color="000000" w:fill="FFF2CC"/>
            <w:noWrap/>
            <w:vAlign w:val="bottom"/>
            <w:hideMark/>
          </w:tcPr>
          <w:p w:rsidRPr="00042C1E" w:rsidR="00042C1E" w:rsidP="00042C1E" w:rsidRDefault="00042C1E" w14:paraId="689A9917"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32%</w:t>
            </w:r>
          </w:p>
        </w:tc>
        <w:tc>
          <w:tcPr>
            <w:tcW w:w="4183" w:type="dxa"/>
            <w:tcBorders>
              <w:top w:val="single" w:color="4472C4" w:sz="4" w:space="0"/>
              <w:left w:val="nil"/>
              <w:bottom w:val="nil"/>
              <w:right w:val="single" w:color="4472C4" w:sz="4" w:space="0"/>
            </w:tcBorders>
            <w:shd w:val="clear" w:color="auto" w:fill="auto"/>
            <w:vAlign w:val="bottom"/>
            <w:hideMark/>
          </w:tcPr>
          <w:p w:rsidRPr="00042C1E" w:rsidR="00042C1E" w:rsidP="00042C1E" w:rsidRDefault="00042C1E" w14:paraId="0DEFEC83" w14:textId="77777777">
            <w:pPr>
              <w:spacing w:after="0" w:line="240" w:lineRule="auto"/>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All 14 governorates</w:t>
            </w:r>
          </w:p>
        </w:tc>
      </w:tr>
      <w:tr w:rsidRPr="00042C1E" w:rsidR="00042C1E" w:rsidTr="00495BE0" w14:paraId="4F172057" w14:textId="77777777">
        <w:trPr>
          <w:trHeight w:val="415"/>
        </w:trPr>
        <w:tc>
          <w:tcPr>
            <w:tcW w:w="2050" w:type="dxa"/>
            <w:tcBorders>
              <w:top w:val="single" w:color="4472C4" w:sz="4" w:space="0"/>
              <w:left w:val="single" w:color="4472C4" w:sz="4" w:space="0"/>
              <w:bottom w:val="nil"/>
              <w:right w:val="nil"/>
            </w:tcBorders>
            <w:shd w:val="clear" w:color="auto" w:fill="auto"/>
            <w:vAlign w:val="center"/>
            <w:hideMark/>
          </w:tcPr>
          <w:p w:rsidRPr="00042C1E" w:rsidR="00042C1E" w:rsidP="00042C1E" w:rsidRDefault="00042C1E" w14:paraId="6A44BC9F" w14:textId="77777777">
            <w:pPr>
              <w:spacing w:after="0" w:line="240" w:lineRule="auto"/>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Food &amp; Agriculture Organization of the United Nations</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6A050031"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xml:space="preserve">                98,850,000 </w:t>
            </w:r>
          </w:p>
        </w:tc>
        <w:tc>
          <w:tcPr>
            <w:tcW w:w="1108" w:type="dxa"/>
            <w:tcBorders>
              <w:top w:val="single" w:color="4472C4" w:sz="4" w:space="0"/>
              <w:left w:val="nil"/>
              <w:bottom w:val="nil"/>
              <w:right w:val="nil"/>
            </w:tcBorders>
            <w:shd w:val="clear" w:color="000000" w:fill="FFCCCC"/>
            <w:noWrap/>
            <w:vAlign w:val="bottom"/>
            <w:hideMark/>
          </w:tcPr>
          <w:p w:rsidRPr="00042C1E" w:rsidR="00042C1E" w:rsidP="00042C1E" w:rsidRDefault="00042C1E" w14:paraId="5CE54F3C"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8%</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641D9F2A" w14:textId="77777777">
            <w:pPr>
              <w:spacing w:after="0" w:line="240" w:lineRule="auto"/>
              <w:jc w:val="right"/>
              <w:rPr>
                <w:rFonts w:ascii="Calibri" w:hAnsi="Calibri" w:eastAsia="Times New Roman" w:cs="Times New Roman"/>
                <w:b/>
                <w:bCs/>
                <w:color w:val="000000"/>
                <w:sz w:val="18"/>
                <w:szCs w:val="18"/>
                <w:lang w:eastAsia="zh-CN"/>
              </w:rPr>
            </w:pPr>
            <w:r w:rsidRPr="00042C1E">
              <w:rPr>
                <w:rFonts w:ascii="Calibri" w:hAnsi="Calibri" w:eastAsia="Times New Roman" w:cs="Times New Roman"/>
                <w:b/>
                <w:bCs/>
                <w:color w:val="000000"/>
                <w:sz w:val="18"/>
                <w:szCs w:val="18"/>
                <w:lang w:eastAsia="zh-CN"/>
              </w:rPr>
              <w:t xml:space="preserve">              170,000,000 </w:t>
            </w:r>
          </w:p>
        </w:tc>
        <w:tc>
          <w:tcPr>
            <w:tcW w:w="888" w:type="dxa"/>
            <w:tcBorders>
              <w:top w:val="single" w:color="4472C4" w:sz="4" w:space="0"/>
              <w:left w:val="nil"/>
              <w:bottom w:val="nil"/>
              <w:right w:val="nil"/>
            </w:tcBorders>
            <w:shd w:val="clear" w:color="000000" w:fill="FFCCCC"/>
            <w:noWrap/>
            <w:vAlign w:val="bottom"/>
            <w:hideMark/>
          </w:tcPr>
          <w:p w:rsidRPr="00042C1E" w:rsidR="00042C1E" w:rsidP="00042C1E" w:rsidRDefault="00042C1E" w14:paraId="5F6FFD73"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72%</w:t>
            </w:r>
          </w:p>
        </w:tc>
        <w:tc>
          <w:tcPr>
            <w:tcW w:w="4183" w:type="dxa"/>
            <w:tcBorders>
              <w:top w:val="single" w:color="4472C4" w:sz="4" w:space="0"/>
              <w:left w:val="nil"/>
              <w:bottom w:val="nil"/>
              <w:right w:val="single" w:color="4472C4" w:sz="4" w:space="0"/>
            </w:tcBorders>
            <w:shd w:val="clear" w:color="auto" w:fill="auto"/>
            <w:vAlign w:val="bottom"/>
            <w:hideMark/>
          </w:tcPr>
          <w:p w:rsidRPr="00042C1E" w:rsidR="00042C1E" w:rsidP="00042C1E" w:rsidRDefault="00042C1E" w14:paraId="665B13E5" w14:textId="77777777">
            <w:pPr>
              <w:spacing w:after="0" w:line="240" w:lineRule="auto"/>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All 14 governorates</w:t>
            </w:r>
          </w:p>
        </w:tc>
      </w:tr>
      <w:tr w:rsidRPr="00042C1E" w:rsidR="00042C1E" w:rsidTr="00495BE0" w14:paraId="421A043F" w14:textId="77777777">
        <w:trPr>
          <w:trHeight w:val="634"/>
        </w:trPr>
        <w:tc>
          <w:tcPr>
            <w:tcW w:w="2050" w:type="dxa"/>
            <w:tcBorders>
              <w:top w:val="single" w:color="4472C4" w:sz="4" w:space="0"/>
              <w:left w:val="single" w:color="4472C4" w:sz="4" w:space="0"/>
              <w:bottom w:val="nil"/>
              <w:right w:val="nil"/>
            </w:tcBorders>
            <w:shd w:val="clear" w:color="auto" w:fill="auto"/>
            <w:vAlign w:val="center"/>
            <w:hideMark/>
          </w:tcPr>
          <w:p w:rsidRPr="00042C1E" w:rsidR="00042C1E" w:rsidP="00042C1E" w:rsidRDefault="00042C1E" w14:paraId="454095E0" w14:textId="77777777">
            <w:pPr>
              <w:spacing w:after="0" w:line="240" w:lineRule="auto"/>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United Nations Relief and Works Agency for Palestine Refugees in the Near East</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59C29E45"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xml:space="preserve">              114,351,134 </w:t>
            </w:r>
          </w:p>
        </w:tc>
        <w:tc>
          <w:tcPr>
            <w:tcW w:w="1108" w:type="dxa"/>
            <w:tcBorders>
              <w:top w:val="single" w:color="4472C4" w:sz="4" w:space="0"/>
              <w:left w:val="nil"/>
              <w:bottom w:val="nil"/>
              <w:right w:val="nil"/>
            </w:tcBorders>
            <w:shd w:val="clear" w:color="000000" w:fill="FFCCCC"/>
            <w:noWrap/>
            <w:vAlign w:val="bottom"/>
            <w:hideMark/>
          </w:tcPr>
          <w:p w:rsidRPr="00042C1E" w:rsidR="00042C1E" w:rsidP="00042C1E" w:rsidRDefault="00042C1E" w14:paraId="1A3EAC7D"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26%</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716BEEB4" w14:textId="77777777">
            <w:pPr>
              <w:spacing w:after="0" w:line="240" w:lineRule="auto"/>
              <w:jc w:val="right"/>
              <w:rPr>
                <w:rFonts w:ascii="Calibri" w:hAnsi="Calibri" w:eastAsia="Times New Roman" w:cs="Times New Roman"/>
                <w:b/>
                <w:bCs/>
                <w:color w:val="000000"/>
                <w:sz w:val="18"/>
                <w:szCs w:val="18"/>
                <w:lang w:eastAsia="zh-CN"/>
              </w:rPr>
            </w:pPr>
            <w:r w:rsidRPr="00042C1E">
              <w:rPr>
                <w:rFonts w:ascii="Calibri" w:hAnsi="Calibri" w:eastAsia="Times New Roman" w:cs="Times New Roman"/>
                <w:b/>
                <w:bCs/>
                <w:color w:val="000000"/>
                <w:sz w:val="18"/>
                <w:szCs w:val="18"/>
                <w:lang w:eastAsia="zh-CN"/>
              </w:rPr>
              <w:t xml:space="preserve">              121,539,847 </w:t>
            </w:r>
          </w:p>
        </w:tc>
        <w:tc>
          <w:tcPr>
            <w:tcW w:w="888" w:type="dxa"/>
            <w:tcBorders>
              <w:top w:val="single" w:color="4472C4" w:sz="4" w:space="0"/>
              <w:left w:val="nil"/>
              <w:bottom w:val="nil"/>
              <w:right w:val="nil"/>
            </w:tcBorders>
            <w:shd w:val="clear" w:color="000000" w:fill="C6E0B4"/>
            <w:noWrap/>
            <w:vAlign w:val="bottom"/>
            <w:hideMark/>
          </w:tcPr>
          <w:p w:rsidRPr="00042C1E" w:rsidR="00042C1E" w:rsidP="00042C1E" w:rsidRDefault="00042C1E" w14:paraId="54B1718A"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6%</w:t>
            </w:r>
          </w:p>
        </w:tc>
        <w:tc>
          <w:tcPr>
            <w:tcW w:w="4183" w:type="dxa"/>
            <w:tcBorders>
              <w:top w:val="single" w:color="4472C4" w:sz="4" w:space="0"/>
              <w:left w:val="nil"/>
              <w:bottom w:val="nil"/>
              <w:right w:val="single" w:color="4472C4" w:sz="4" w:space="0"/>
            </w:tcBorders>
            <w:shd w:val="clear" w:color="auto" w:fill="auto"/>
            <w:vAlign w:val="bottom"/>
            <w:hideMark/>
          </w:tcPr>
          <w:p w:rsidRPr="00042C1E" w:rsidR="00042C1E" w:rsidP="00042C1E" w:rsidRDefault="00042C1E" w14:paraId="365DA89B" w14:textId="4F08D7FE">
            <w:pPr>
              <w:spacing w:after="0" w:line="240" w:lineRule="auto"/>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Aleppo;</w:t>
            </w:r>
            <w:r w:rsidR="00AC021A">
              <w:rPr>
                <w:rFonts w:ascii="Calibri" w:hAnsi="Calibri" w:eastAsia="Times New Roman" w:cs="Times New Roman"/>
                <w:color w:val="000000"/>
                <w:sz w:val="18"/>
                <w:szCs w:val="18"/>
                <w:lang w:eastAsia="zh-CN"/>
              </w:rPr>
              <w:t xml:space="preserve"> </w:t>
            </w:r>
            <w:proofErr w:type="spellStart"/>
            <w:r w:rsidRPr="00042C1E">
              <w:rPr>
                <w:rFonts w:ascii="Calibri" w:hAnsi="Calibri" w:eastAsia="Times New Roman" w:cs="Times New Roman"/>
                <w:color w:val="000000"/>
                <w:sz w:val="18"/>
                <w:szCs w:val="18"/>
                <w:lang w:eastAsia="zh-CN"/>
              </w:rPr>
              <w:t>Al-HasakehAs-</w:t>
            </w:r>
            <w:proofErr w:type="gramStart"/>
            <w:r w:rsidRPr="00042C1E">
              <w:rPr>
                <w:rFonts w:ascii="Calibri" w:hAnsi="Calibri" w:eastAsia="Times New Roman" w:cs="Times New Roman"/>
                <w:color w:val="000000"/>
                <w:sz w:val="18"/>
                <w:szCs w:val="18"/>
                <w:lang w:eastAsia="zh-CN"/>
              </w:rPr>
              <w:t>Sweida;Damascus</w:t>
            </w:r>
            <w:proofErr w:type="gramEnd"/>
            <w:r w:rsidRPr="00042C1E">
              <w:rPr>
                <w:rFonts w:ascii="Calibri" w:hAnsi="Calibri" w:eastAsia="Times New Roman" w:cs="Times New Roman"/>
                <w:color w:val="000000"/>
                <w:sz w:val="18"/>
                <w:szCs w:val="18"/>
                <w:lang w:eastAsia="zh-CN"/>
              </w:rPr>
              <w:t>;Dar'aHama;HomsLattakia;Quneitra</w:t>
            </w:r>
            <w:proofErr w:type="spellEnd"/>
            <w:r w:rsidRPr="00042C1E">
              <w:rPr>
                <w:rFonts w:ascii="Calibri" w:hAnsi="Calibri" w:eastAsia="Times New Roman" w:cs="Times New Roman"/>
                <w:color w:val="000000"/>
                <w:sz w:val="18"/>
                <w:szCs w:val="18"/>
                <w:lang w:eastAsia="zh-CN"/>
              </w:rPr>
              <w:t xml:space="preserve">; Rural </w:t>
            </w:r>
            <w:proofErr w:type="spellStart"/>
            <w:r w:rsidRPr="00042C1E">
              <w:rPr>
                <w:rFonts w:ascii="Calibri" w:hAnsi="Calibri" w:eastAsia="Times New Roman" w:cs="Times New Roman"/>
                <w:color w:val="000000"/>
                <w:sz w:val="18"/>
                <w:szCs w:val="18"/>
                <w:lang w:eastAsia="zh-CN"/>
              </w:rPr>
              <w:t>Damascus;Tartous</w:t>
            </w:r>
            <w:proofErr w:type="spellEnd"/>
          </w:p>
        </w:tc>
      </w:tr>
      <w:tr w:rsidRPr="00042C1E" w:rsidR="00042C1E" w:rsidTr="00495BE0" w14:paraId="7A41AAE5" w14:textId="77777777">
        <w:trPr>
          <w:trHeight w:val="249"/>
        </w:trPr>
        <w:tc>
          <w:tcPr>
            <w:tcW w:w="2050" w:type="dxa"/>
            <w:tcBorders>
              <w:top w:val="single" w:color="4472C4" w:sz="4" w:space="0"/>
              <w:left w:val="single" w:color="4472C4" w:sz="4" w:space="0"/>
              <w:bottom w:val="nil"/>
              <w:right w:val="nil"/>
            </w:tcBorders>
            <w:shd w:val="clear" w:color="auto" w:fill="auto"/>
            <w:vAlign w:val="center"/>
            <w:hideMark/>
          </w:tcPr>
          <w:p w:rsidRPr="00042C1E" w:rsidR="00042C1E" w:rsidP="00042C1E" w:rsidRDefault="00042C1E" w14:paraId="0EBD1E86" w14:textId="77777777">
            <w:pPr>
              <w:spacing w:after="0" w:line="240" w:lineRule="auto"/>
              <w:rPr>
                <w:rFonts w:ascii="Calibri" w:hAnsi="Calibri" w:eastAsia="Times New Roman" w:cs="Times New Roman"/>
                <w:color w:val="000000"/>
                <w:sz w:val="18"/>
                <w:szCs w:val="18"/>
                <w:lang w:eastAsia="zh-CN"/>
              </w:rPr>
            </w:pPr>
            <w:proofErr w:type="spellStart"/>
            <w:r w:rsidRPr="00042C1E">
              <w:rPr>
                <w:rFonts w:ascii="Calibri" w:hAnsi="Calibri" w:eastAsia="Times New Roman" w:cs="Times New Roman"/>
                <w:color w:val="000000"/>
                <w:sz w:val="18"/>
                <w:szCs w:val="18"/>
                <w:lang w:eastAsia="zh-CN"/>
              </w:rPr>
              <w:t>Uluslararasi</w:t>
            </w:r>
            <w:proofErr w:type="spellEnd"/>
            <w:r w:rsidRPr="00042C1E">
              <w:rPr>
                <w:rFonts w:ascii="Calibri" w:hAnsi="Calibri" w:eastAsia="Times New Roman" w:cs="Times New Roman"/>
                <w:color w:val="000000"/>
                <w:sz w:val="18"/>
                <w:szCs w:val="18"/>
                <w:lang w:eastAsia="zh-CN"/>
              </w:rPr>
              <w:t xml:space="preserve"> </w:t>
            </w:r>
            <w:proofErr w:type="spellStart"/>
            <w:r w:rsidRPr="00042C1E">
              <w:rPr>
                <w:rFonts w:ascii="Calibri" w:hAnsi="Calibri" w:eastAsia="Times New Roman" w:cs="Times New Roman"/>
                <w:color w:val="000000"/>
                <w:sz w:val="18"/>
                <w:szCs w:val="18"/>
                <w:lang w:eastAsia="zh-CN"/>
              </w:rPr>
              <w:t>Insani</w:t>
            </w:r>
            <w:proofErr w:type="spellEnd"/>
            <w:r w:rsidRPr="00042C1E">
              <w:rPr>
                <w:rFonts w:ascii="Calibri" w:hAnsi="Calibri" w:eastAsia="Times New Roman" w:cs="Times New Roman"/>
                <w:color w:val="000000"/>
                <w:sz w:val="18"/>
                <w:szCs w:val="18"/>
                <w:lang w:eastAsia="zh-CN"/>
              </w:rPr>
              <w:t xml:space="preserve"> </w:t>
            </w:r>
            <w:proofErr w:type="spellStart"/>
            <w:r w:rsidRPr="00042C1E">
              <w:rPr>
                <w:rFonts w:ascii="Calibri" w:hAnsi="Calibri" w:eastAsia="Times New Roman" w:cs="Times New Roman"/>
                <w:color w:val="000000"/>
                <w:sz w:val="18"/>
                <w:szCs w:val="18"/>
                <w:lang w:eastAsia="zh-CN"/>
              </w:rPr>
              <w:t>Yardimlasma</w:t>
            </w:r>
            <w:proofErr w:type="spellEnd"/>
            <w:r w:rsidRPr="00042C1E">
              <w:rPr>
                <w:rFonts w:ascii="Calibri" w:hAnsi="Calibri" w:eastAsia="Times New Roman" w:cs="Times New Roman"/>
                <w:color w:val="000000"/>
                <w:sz w:val="18"/>
                <w:szCs w:val="18"/>
                <w:lang w:eastAsia="zh-CN"/>
              </w:rPr>
              <w:t xml:space="preserve"> </w:t>
            </w:r>
            <w:proofErr w:type="spellStart"/>
            <w:r w:rsidRPr="00042C1E">
              <w:rPr>
                <w:rFonts w:ascii="Calibri" w:hAnsi="Calibri" w:eastAsia="Times New Roman" w:cs="Times New Roman"/>
                <w:color w:val="000000"/>
                <w:sz w:val="18"/>
                <w:szCs w:val="18"/>
                <w:lang w:eastAsia="zh-CN"/>
              </w:rPr>
              <w:t>Dernegi</w:t>
            </w:r>
            <w:proofErr w:type="spellEnd"/>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0848A818"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xml:space="preserve">                   5,115,050 </w:t>
            </w:r>
          </w:p>
        </w:tc>
        <w:tc>
          <w:tcPr>
            <w:tcW w:w="1108" w:type="dxa"/>
            <w:tcBorders>
              <w:top w:val="single" w:color="4472C4" w:sz="4" w:space="0"/>
              <w:left w:val="nil"/>
              <w:bottom w:val="nil"/>
              <w:right w:val="nil"/>
            </w:tcBorders>
            <w:shd w:val="clear" w:color="000000" w:fill="FFCCCC"/>
            <w:noWrap/>
            <w:vAlign w:val="bottom"/>
            <w:hideMark/>
          </w:tcPr>
          <w:p w:rsidRPr="00042C1E" w:rsidR="00042C1E" w:rsidP="00042C1E" w:rsidRDefault="00042C1E" w14:paraId="666547AE"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8%</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567BC96F" w14:textId="77777777">
            <w:pPr>
              <w:spacing w:after="0" w:line="240" w:lineRule="auto"/>
              <w:jc w:val="right"/>
              <w:rPr>
                <w:rFonts w:ascii="Calibri" w:hAnsi="Calibri" w:eastAsia="Times New Roman" w:cs="Times New Roman"/>
                <w:b/>
                <w:bCs/>
                <w:color w:val="000000"/>
                <w:sz w:val="18"/>
                <w:szCs w:val="18"/>
                <w:lang w:eastAsia="zh-CN"/>
              </w:rPr>
            </w:pPr>
            <w:r w:rsidRPr="00042C1E">
              <w:rPr>
                <w:rFonts w:ascii="Calibri" w:hAnsi="Calibri" w:eastAsia="Times New Roman" w:cs="Times New Roman"/>
                <w:b/>
                <w:bCs/>
                <w:color w:val="000000"/>
                <w:sz w:val="18"/>
                <w:szCs w:val="18"/>
                <w:lang w:eastAsia="zh-CN"/>
              </w:rPr>
              <w:t xml:space="preserve">                53,345,000 </w:t>
            </w:r>
          </w:p>
        </w:tc>
        <w:tc>
          <w:tcPr>
            <w:tcW w:w="888" w:type="dxa"/>
            <w:tcBorders>
              <w:top w:val="single" w:color="4472C4" w:sz="4" w:space="0"/>
              <w:left w:val="nil"/>
              <w:bottom w:val="nil"/>
              <w:right w:val="nil"/>
            </w:tcBorders>
            <w:shd w:val="clear" w:color="000000" w:fill="FFCCCC"/>
            <w:noWrap/>
            <w:vAlign w:val="bottom"/>
            <w:hideMark/>
          </w:tcPr>
          <w:p w:rsidRPr="00042C1E" w:rsidR="00042C1E" w:rsidP="00042C1E" w:rsidRDefault="00042C1E" w14:paraId="65EB7E64"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943%</w:t>
            </w:r>
          </w:p>
        </w:tc>
        <w:tc>
          <w:tcPr>
            <w:tcW w:w="4183" w:type="dxa"/>
            <w:tcBorders>
              <w:top w:val="single" w:color="4472C4" w:sz="4" w:space="0"/>
              <w:left w:val="nil"/>
              <w:bottom w:val="nil"/>
              <w:right w:val="single" w:color="4472C4" w:sz="4" w:space="0"/>
            </w:tcBorders>
            <w:shd w:val="clear" w:color="auto" w:fill="auto"/>
            <w:vAlign w:val="bottom"/>
            <w:hideMark/>
          </w:tcPr>
          <w:p w:rsidRPr="00042C1E" w:rsidR="00042C1E" w:rsidP="00042C1E" w:rsidRDefault="00042C1E" w14:paraId="165C9EB8"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042C1E">
              <w:rPr>
                <w:rFonts w:ascii="Calibri" w:hAnsi="Calibri" w:eastAsia="Times New Roman" w:cs="Times New Roman"/>
                <w:color w:val="000000"/>
                <w:sz w:val="18"/>
                <w:szCs w:val="18"/>
                <w:lang w:eastAsia="zh-CN"/>
              </w:rPr>
              <w:t>Aleppo;Idleb</w:t>
            </w:r>
            <w:proofErr w:type="spellEnd"/>
            <w:proofErr w:type="gramEnd"/>
          </w:p>
        </w:tc>
      </w:tr>
      <w:tr w:rsidRPr="00042C1E" w:rsidR="00042C1E" w:rsidTr="00495BE0" w14:paraId="26BD0B80" w14:textId="77777777">
        <w:trPr>
          <w:trHeight w:val="249"/>
        </w:trPr>
        <w:tc>
          <w:tcPr>
            <w:tcW w:w="2050" w:type="dxa"/>
            <w:tcBorders>
              <w:top w:val="single" w:color="4472C4" w:sz="4" w:space="0"/>
              <w:left w:val="single" w:color="4472C4" w:sz="4" w:space="0"/>
              <w:bottom w:val="nil"/>
              <w:right w:val="nil"/>
            </w:tcBorders>
            <w:shd w:val="clear" w:color="auto" w:fill="auto"/>
            <w:vAlign w:val="center"/>
            <w:hideMark/>
          </w:tcPr>
          <w:p w:rsidRPr="00042C1E" w:rsidR="00042C1E" w:rsidP="00042C1E" w:rsidRDefault="00042C1E" w14:paraId="4445F9EB" w14:textId="77777777">
            <w:pPr>
              <w:spacing w:after="0" w:line="240" w:lineRule="auto"/>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People in Need</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4B918769"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xml:space="preserve">                11,159,880 </w:t>
            </w:r>
          </w:p>
        </w:tc>
        <w:tc>
          <w:tcPr>
            <w:tcW w:w="1108" w:type="dxa"/>
            <w:tcBorders>
              <w:top w:val="single" w:color="4472C4" w:sz="4" w:space="0"/>
              <w:left w:val="nil"/>
              <w:bottom w:val="nil"/>
              <w:right w:val="nil"/>
            </w:tcBorders>
            <w:shd w:val="clear" w:color="000000" w:fill="FFF2CC"/>
            <w:noWrap/>
            <w:vAlign w:val="bottom"/>
            <w:hideMark/>
          </w:tcPr>
          <w:p w:rsidRPr="00042C1E" w:rsidR="00042C1E" w:rsidP="00042C1E" w:rsidRDefault="00042C1E" w14:paraId="29049539"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48%</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2FDD6986" w14:textId="77777777">
            <w:pPr>
              <w:spacing w:after="0" w:line="240" w:lineRule="auto"/>
              <w:jc w:val="right"/>
              <w:rPr>
                <w:rFonts w:ascii="Calibri" w:hAnsi="Calibri" w:eastAsia="Times New Roman" w:cs="Times New Roman"/>
                <w:b/>
                <w:bCs/>
                <w:color w:val="000000"/>
                <w:sz w:val="18"/>
                <w:szCs w:val="18"/>
                <w:lang w:eastAsia="zh-CN"/>
              </w:rPr>
            </w:pPr>
            <w:r w:rsidRPr="00042C1E">
              <w:rPr>
                <w:rFonts w:ascii="Calibri" w:hAnsi="Calibri" w:eastAsia="Times New Roman" w:cs="Times New Roman"/>
                <w:b/>
                <w:bCs/>
                <w:color w:val="000000"/>
                <w:sz w:val="18"/>
                <w:szCs w:val="18"/>
                <w:lang w:eastAsia="zh-CN"/>
              </w:rPr>
              <w:t xml:space="preserve">                37,140,000 </w:t>
            </w:r>
          </w:p>
        </w:tc>
        <w:tc>
          <w:tcPr>
            <w:tcW w:w="888" w:type="dxa"/>
            <w:tcBorders>
              <w:top w:val="single" w:color="4472C4" w:sz="4" w:space="0"/>
              <w:left w:val="nil"/>
              <w:bottom w:val="nil"/>
              <w:right w:val="nil"/>
            </w:tcBorders>
            <w:shd w:val="clear" w:color="000000" w:fill="FFCCCC"/>
            <w:noWrap/>
            <w:vAlign w:val="bottom"/>
            <w:hideMark/>
          </w:tcPr>
          <w:p w:rsidRPr="00042C1E" w:rsidR="00042C1E" w:rsidP="00042C1E" w:rsidRDefault="00042C1E" w14:paraId="5C260DE6"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233%</w:t>
            </w:r>
          </w:p>
        </w:tc>
        <w:tc>
          <w:tcPr>
            <w:tcW w:w="4183" w:type="dxa"/>
            <w:tcBorders>
              <w:top w:val="single" w:color="4472C4" w:sz="4" w:space="0"/>
              <w:left w:val="nil"/>
              <w:bottom w:val="nil"/>
              <w:right w:val="single" w:color="4472C4" w:sz="4" w:space="0"/>
            </w:tcBorders>
            <w:shd w:val="clear" w:color="auto" w:fill="auto"/>
            <w:vAlign w:val="bottom"/>
            <w:hideMark/>
          </w:tcPr>
          <w:p w:rsidRPr="00042C1E" w:rsidR="00042C1E" w:rsidP="00042C1E" w:rsidRDefault="00042C1E" w14:paraId="3AF010B0" w14:textId="77777777">
            <w:pPr>
              <w:spacing w:after="0" w:line="240" w:lineRule="auto"/>
              <w:rPr>
                <w:rFonts w:ascii="Calibri" w:hAnsi="Calibri" w:eastAsia="Times New Roman" w:cs="Times New Roman"/>
                <w:color w:val="000000"/>
                <w:sz w:val="18"/>
                <w:szCs w:val="18"/>
                <w:lang w:eastAsia="zh-CN"/>
              </w:rPr>
            </w:pPr>
            <w:proofErr w:type="spellStart"/>
            <w:r w:rsidRPr="00042C1E">
              <w:rPr>
                <w:rFonts w:ascii="Calibri" w:hAnsi="Calibri" w:eastAsia="Times New Roman" w:cs="Times New Roman"/>
                <w:color w:val="000000"/>
                <w:sz w:val="18"/>
                <w:szCs w:val="18"/>
                <w:lang w:eastAsia="zh-CN"/>
              </w:rPr>
              <w:t>AleppoAr-</w:t>
            </w:r>
            <w:proofErr w:type="gramStart"/>
            <w:r w:rsidRPr="00042C1E">
              <w:rPr>
                <w:rFonts w:ascii="Calibri" w:hAnsi="Calibri" w:eastAsia="Times New Roman" w:cs="Times New Roman"/>
                <w:color w:val="000000"/>
                <w:sz w:val="18"/>
                <w:szCs w:val="18"/>
                <w:lang w:eastAsia="zh-CN"/>
              </w:rPr>
              <w:t>Raqqa;Idleb</w:t>
            </w:r>
            <w:proofErr w:type="spellEnd"/>
            <w:proofErr w:type="gramEnd"/>
          </w:p>
        </w:tc>
      </w:tr>
      <w:tr w:rsidRPr="00042C1E" w:rsidR="00042C1E" w:rsidTr="00495BE0" w14:paraId="3AEBC0BE" w14:textId="77777777">
        <w:trPr>
          <w:trHeight w:val="415"/>
        </w:trPr>
        <w:tc>
          <w:tcPr>
            <w:tcW w:w="2050" w:type="dxa"/>
            <w:tcBorders>
              <w:top w:val="single" w:color="4472C4" w:sz="4" w:space="0"/>
              <w:left w:val="single" w:color="4472C4" w:sz="4" w:space="0"/>
              <w:bottom w:val="nil"/>
              <w:right w:val="nil"/>
            </w:tcBorders>
            <w:shd w:val="clear" w:color="auto" w:fill="auto"/>
            <w:vAlign w:val="center"/>
            <w:hideMark/>
          </w:tcPr>
          <w:p w:rsidRPr="00042C1E" w:rsidR="00042C1E" w:rsidP="00042C1E" w:rsidRDefault="00042C1E" w14:paraId="3D6F05FE" w14:textId="77777777">
            <w:pPr>
              <w:spacing w:after="0" w:line="240" w:lineRule="auto"/>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Agency for Technical Cooperation and Development</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6745A89A"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xml:space="preserve">                   6,812,390 </w:t>
            </w:r>
          </w:p>
        </w:tc>
        <w:tc>
          <w:tcPr>
            <w:tcW w:w="1108" w:type="dxa"/>
            <w:tcBorders>
              <w:top w:val="single" w:color="4472C4" w:sz="4" w:space="0"/>
              <w:left w:val="nil"/>
              <w:bottom w:val="nil"/>
              <w:right w:val="nil"/>
            </w:tcBorders>
            <w:shd w:val="clear" w:color="000000" w:fill="FFCCCC"/>
            <w:noWrap/>
            <w:vAlign w:val="bottom"/>
            <w:hideMark/>
          </w:tcPr>
          <w:p w:rsidRPr="00042C1E" w:rsidR="00042C1E" w:rsidP="00042C1E" w:rsidRDefault="00042C1E" w14:paraId="76621926"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0%</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2C6BB4A7" w14:textId="77777777">
            <w:pPr>
              <w:spacing w:after="0" w:line="240" w:lineRule="auto"/>
              <w:jc w:val="right"/>
              <w:rPr>
                <w:rFonts w:ascii="Calibri" w:hAnsi="Calibri" w:eastAsia="Times New Roman" w:cs="Times New Roman"/>
                <w:b/>
                <w:bCs/>
                <w:color w:val="000000"/>
                <w:sz w:val="18"/>
                <w:szCs w:val="18"/>
                <w:lang w:eastAsia="zh-CN"/>
              </w:rPr>
            </w:pPr>
            <w:r w:rsidRPr="00042C1E">
              <w:rPr>
                <w:rFonts w:ascii="Calibri" w:hAnsi="Calibri" w:eastAsia="Times New Roman" w:cs="Times New Roman"/>
                <w:b/>
                <w:bCs/>
                <w:color w:val="000000"/>
                <w:sz w:val="18"/>
                <w:szCs w:val="18"/>
                <w:lang w:eastAsia="zh-CN"/>
              </w:rPr>
              <w:t xml:space="preserve">                25,808,206 </w:t>
            </w:r>
          </w:p>
        </w:tc>
        <w:tc>
          <w:tcPr>
            <w:tcW w:w="888" w:type="dxa"/>
            <w:tcBorders>
              <w:top w:val="single" w:color="4472C4" w:sz="4" w:space="0"/>
              <w:left w:val="nil"/>
              <w:bottom w:val="nil"/>
              <w:right w:val="nil"/>
            </w:tcBorders>
            <w:shd w:val="clear" w:color="000000" w:fill="FFCCCC"/>
            <w:noWrap/>
            <w:vAlign w:val="bottom"/>
            <w:hideMark/>
          </w:tcPr>
          <w:p w:rsidRPr="00042C1E" w:rsidR="00042C1E" w:rsidP="00042C1E" w:rsidRDefault="00042C1E" w14:paraId="3AFE293C"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279%</w:t>
            </w:r>
          </w:p>
        </w:tc>
        <w:tc>
          <w:tcPr>
            <w:tcW w:w="4183" w:type="dxa"/>
            <w:tcBorders>
              <w:top w:val="single" w:color="4472C4" w:sz="4" w:space="0"/>
              <w:left w:val="nil"/>
              <w:bottom w:val="nil"/>
              <w:right w:val="single" w:color="4472C4" w:sz="4" w:space="0"/>
            </w:tcBorders>
            <w:shd w:val="clear" w:color="auto" w:fill="auto"/>
            <w:vAlign w:val="bottom"/>
            <w:hideMark/>
          </w:tcPr>
          <w:p w:rsidRPr="00042C1E" w:rsidR="00042C1E" w:rsidP="00042C1E" w:rsidRDefault="00042C1E" w14:paraId="4380AFF9"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042C1E">
              <w:rPr>
                <w:rFonts w:ascii="Calibri" w:hAnsi="Calibri" w:eastAsia="Times New Roman" w:cs="Times New Roman"/>
                <w:color w:val="000000"/>
                <w:sz w:val="18"/>
                <w:szCs w:val="18"/>
                <w:lang w:eastAsia="zh-CN"/>
              </w:rPr>
              <w:t>Aleppo;Al</w:t>
            </w:r>
            <w:proofErr w:type="gramEnd"/>
            <w:r w:rsidRPr="00042C1E">
              <w:rPr>
                <w:rFonts w:ascii="Calibri" w:hAnsi="Calibri" w:eastAsia="Times New Roman" w:cs="Times New Roman"/>
                <w:color w:val="000000"/>
                <w:sz w:val="18"/>
                <w:szCs w:val="18"/>
                <w:lang w:eastAsia="zh-CN"/>
              </w:rPr>
              <w:t>-Hasakeh;Ar-RaqqaDeir-ez-Zor;Idleb</w:t>
            </w:r>
            <w:proofErr w:type="spellEnd"/>
          </w:p>
        </w:tc>
      </w:tr>
      <w:tr w:rsidRPr="003E71A0" w:rsidR="00042C1E" w:rsidTr="00495BE0" w14:paraId="2EE7872D" w14:textId="77777777">
        <w:trPr>
          <w:trHeight w:val="249"/>
        </w:trPr>
        <w:tc>
          <w:tcPr>
            <w:tcW w:w="2050" w:type="dxa"/>
            <w:tcBorders>
              <w:top w:val="single" w:color="4472C4" w:sz="4" w:space="0"/>
              <w:left w:val="single" w:color="4472C4" w:sz="4" w:space="0"/>
              <w:bottom w:val="nil"/>
              <w:right w:val="nil"/>
            </w:tcBorders>
            <w:shd w:val="clear" w:color="auto" w:fill="auto"/>
            <w:vAlign w:val="center"/>
            <w:hideMark/>
          </w:tcPr>
          <w:p w:rsidRPr="00042C1E" w:rsidR="00042C1E" w:rsidP="00042C1E" w:rsidRDefault="00042C1E" w14:paraId="014E1856" w14:textId="77777777">
            <w:pPr>
              <w:spacing w:after="0" w:line="240" w:lineRule="auto"/>
              <w:rPr>
                <w:rFonts w:ascii="Calibri" w:hAnsi="Calibri" w:eastAsia="Times New Roman" w:cs="Times New Roman"/>
                <w:color w:val="000000"/>
                <w:sz w:val="18"/>
                <w:szCs w:val="18"/>
                <w:lang w:eastAsia="zh-CN"/>
              </w:rPr>
            </w:pPr>
            <w:proofErr w:type="spellStart"/>
            <w:r w:rsidRPr="00042C1E">
              <w:rPr>
                <w:rFonts w:ascii="Calibri" w:hAnsi="Calibri" w:eastAsia="Times New Roman" w:cs="Times New Roman"/>
                <w:color w:val="000000"/>
                <w:sz w:val="18"/>
                <w:szCs w:val="18"/>
                <w:lang w:eastAsia="zh-CN"/>
              </w:rPr>
              <w:t>Blumont</w:t>
            </w:r>
            <w:proofErr w:type="spellEnd"/>
            <w:r w:rsidRPr="00042C1E">
              <w:rPr>
                <w:rFonts w:ascii="Calibri" w:hAnsi="Calibri" w:eastAsia="Times New Roman" w:cs="Times New Roman"/>
                <w:color w:val="000000"/>
                <w:sz w:val="18"/>
                <w:szCs w:val="18"/>
                <w:lang w:eastAsia="zh-CN"/>
              </w:rPr>
              <w:t xml:space="preserve"> International</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2C085085"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w:t>
            </w:r>
          </w:p>
        </w:tc>
        <w:tc>
          <w:tcPr>
            <w:tcW w:w="1108" w:type="dxa"/>
            <w:tcBorders>
              <w:top w:val="single" w:color="4472C4" w:sz="4" w:space="0"/>
              <w:left w:val="nil"/>
              <w:bottom w:val="nil"/>
              <w:right w:val="nil"/>
            </w:tcBorders>
            <w:shd w:val="clear" w:color="000000" w:fill="FFFFFF"/>
            <w:noWrap/>
            <w:vAlign w:val="bottom"/>
            <w:hideMark/>
          </w:tcPr>
          <w:p w:rsidRPr="00042C1E" w:rsidR="00042C1E" w:rsidP="00042C1E" w:rsidRDefault="00042C1E" w14:paraId="5605B769"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345A2C39" w14:textId="77777777">
            <w:pPr>
              <w:spacing w:after="0" w:line="240" w:lineRule="auto"/>
              <w:jc w:val="right"/>
              <w:rPr>
                <w:rFonts w:ascii="Calibri" w:hAnsi="Calibri" w:eastAsia="Times New Roman" w:cs="Times New Roman"/>
                <w:b/>
                <w:bCs/>
                <w:color w:val="000000"/>
                <w:sz w:val="18"/>
                <w:szCs w:val="18"/>
                <w:lang w:eastAsia="zh-CN"/>
              </w:rPr>
            </w:pPr>
            <w:r w:rsidRPr="00042C1E">
              <w:rPr>
                <w:rFonts w:ascii="Calibri" w:hAnsi="Calibri" w:eastAsia="Times New Roman" w:cs="Times New Roman"/>
                <w:b/>
                <w:bCs/>
                <w:color w:val="000000"/>
                <w:sz w:val="18"/>
                <w:szCs w:val="18"/>
                <w:lang w:eastAsia="zh-CN"/>
              </w:rPr>
              <w:t xml:space="preserve">                13,756,747 </w:t>
            </w:r>
          </w:p>
        </w:tc>
        <w:tc>
          <w:tcPr>
            <w:tcW w:w="888" w:type="dxa"/>
            <w:tcBorders>
              <w:top w:val="single" w:color="4472C4" w:sz="4" w:space="0"/>
              <w:left w:val="nil"/>
              <w:bottom w:val="nil"/>
              <w:right w:val="nil"/>
            </w:tcBorders>
            <w:shd w:val="clear" w:color="000000" w:fill="FFFFFF"/>
            <w:noWrap/>
            <w:vAlign w:val="bottom"/>
            <w:hideMark/>
          </w:tcPr>
          <w:p w:rsidRPr="00042C1E" w:rsidR="00042C1E" w:rsidP="00042C1E" w:rsidRDefault="00042C1E" w14:paraId="025F4640"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w:t>
            </w:r>
          </w:p>
        </w:tc>
        <w:tc>
          <w:tcPr>
            <w:tcW w:w="4183" w:type="dxa"/>
            <w:tcBorders>
              <w:top w:val="single" w:color="4472C4" w:sz="4" w:space="0"/>
              <w:left w:val="nil"/>
              <w:bottom w:val="nil"/>
              <w:right w:val="single" w:color="4472C4" w:sz="4" w:space="0"/>
            </w:tcBorders>
            <w:shd w:val="clear" w:color="auto" w:fill="auto"/>
            <w:vAlign w:val="bottom"/>
            <w:hideMark/>
          </w:tcPr>
          <w:p w:rsidRPr="00042C1E" w:rsidR="00042C1E" w:rsidP="00042C1E" w:rsidRDefault="00042C1E" w14:paraId="1C16B9ED" w14:textId="77777777">
            <w:pPr>
              <w:spacing w:after="0" w:line="240" w:lineRule="auto"/>
              <w:rPr>
                <w:rFonts w:ascii="Calibri" w:hAnsi="Calibri" w:eastAsia="Times New Roman" w:cs="Times New Roman"/>
                <w:color w:val="000000"/>
                <w:sz w:val="18"/>
                <w:szCs w:val="18"/>
                <w:lang w:val="es-ES" w:eastAsia="zh-CN"/>
              </w:rPr>
            </w:pPr>
            <w:proofErr w:type="spellStart"/>
            <w:r w:rsidRPr="00042C1E">
              <w:rPr>
                <w:rFonts w:ascii="Calibri" w:hAnsi="Calibri" w:eastAsia="Times New Roman" w:cs="Times New Roman"/>
                <w:color w:val="000000"/>
                <w:sz w:val="18"/>
                <w:szCs w:val="18"/>
                <w:lang w:val="es-ES" w:eastAsia="zh-CN"/>
              </w:rPr>
              <w:t>Al-</w:t>
            </w:r>
            <w:proofErr w:type="gramStart"/>
            <w:r w:rsidRPr="00042C1E">
              <w:rPr>
                <w:rFonts w:ascii="Calibri" w:hAnsi="Calibri" w:eastAsia="Times New Roman" w:cs="Times New Roman"/>
                <w:color w:val="000000"/>
                <w:sz w:val="18"/>
                <w:szCs w:val="18"/>
                <w:lang w:val="es-ES" w:eastAsia="zh-CN"/>
              </w:rPr>
              <w:t>Hasakeh;Ar</w:t>
            </w:r>
            <w:proofErr w:type="gramEnd"/>
            <w:r w:rsidRPr="00042C1E">
              <w:rPr>
                <w:rFonts w:ascii="Calibri" w:hAnsi="Calibri" w:eastAsia="Times New Roman" w:cs="Times New Roman"/>
                <w:color w:val="000000"/>
                <w:sz w:val="18"/>
                <w:szCs w:val="18"/>
                <w:lang w:val="es-ES" w:eastAsia="zh-CN"/>
              </w:rPr>
              <w:t>-RaqqaDeir-ez-Zor</w:t>
            </w:r>
            <w:proofErr w:type="spellEnd"/>
            <w:r w:rsidRPr="00042C1E">
              <w:rPr>
                <w:rFonts w:ascii="Calibri" w:hAnsi="Calibri" w:eastAsia="Times New Roman" w:cs="Times New Roman"/>
                <w:color w:val="000000"/>
                <w:sz w:val="18"/>
                <w:szCs w:val="18"/>
                <w:lang w:val="es-ES" w:eastAsia="zh-CN"/>
              </w:rPr>
              <w:t>;</w:t>
            </w:r>
          </w:p>
        </w:tc>
      </w:tr>
      <w:tr w:rsidRPr="00042C1E" w:rsidR="00042C1E" w:rsidTr="00495BE0" w14:paraId="1710DBD6" w14:textId="77777777">
        <w:trPr>
          <w:trHeight w:val="249"/>
        </w:trPr>
        <w:tc>
          <w:tcPr>
            <w:tcW w:w="2050" w:type="dxa"/>
            <w:tcBorders>
              <w:top w:val="single" w:color="4472C4" w:sz="4" w:space="0"/>
              <w:left w:val="single" w:color="4472C4" w:sz="4" w:space="0"/>
              <w:bottom w:val="nil"/>
              <w:right w:val="nil"/>
            </w:tcBorders>
            <w:shd w:val="clear" w:color="auto" w:fill="auto"/>
            <w:vAlign w:val="center"/>
            <w:hideMark/>
          </w:tcPr>
          <w:p w:rsidRPr="00042C1E" w:rsidR="00042C1E" w:rsidP="00042C1E" w:rsidRDefault="00042C1E" w14:paraId="03399E2C" w14:textId="77777777">
            <w:pPr>
              <w:spacing w:after="0" w:line="240" w:lineRule="auto"/>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OXFAM GB</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5475A2C6"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xml:space="preserve">                   8,016,340 </w:t>
            </w:r>
          </w:p>
        </w:tc>
        <w:tc>
          <w:tcPr>
            <w:tcW w:w="1108" w:type="dxa"/>
            <w:tcBorders>
              <w:top w:val="single" w:color="4472C4" w:sz="4" w:space="0"/>
              <w:left w:val="nil"/>
              <w:bottom w:val="nil"/>
              <w:right w:val="nil"/>
            </w:tcBorders>
            <w:shd w:val="clear" w:color="000000" w:fill="FFCCCC"/>
            <w:noWrap/>
            <w:vAlign w:val="bottom"/>
            <w:hideMark/>
          </w:tcPr>
          <w:p w:rsidRPr="00042C1E" w:rsidR="00042C1E" w:rsidP="00042C1E" w:rsidRDefault="00042C1E" w14:paraId="3FF266E4"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0%</w:t>
            </w:r>
          </w:p>
        </w:tc>
        <w:tc>
          <w:tcPr>
            <w:tcW w:w="1231" w:type="dxa"/>
            <w:tcBorders>
              <w:top w:val="single" w:color="4472C4" w:sz="4" w:space="0"/>
              <w:left w:val="nil"/>
              <w:bottom w:val="nil"/>
              <w:right w:val="nil"/>
            </w:tcBorders>
            <w:shd w:val="clear" w:color="auto" w:fill="auto"/>
            <w:noWrap/>
            <w:vAlign w:val="bottom"/>
            <w:hideMark/>
          </w:tcPr>
          <w:p w:rsidRPr="00042C1E" w:rsidR="00042C1E" w:rsidP="00042C1E" w:rsidRDefault="00042C1E" w14:paraId="516204F4" w14:textId="77777777">
            <w:pPr>
              <w:spacing w:after="0" w:line="240" w:lineRule="auto"/>
              <w:jc w:val="right"/>
              <w:rPr>
                <w:rFonts w:ascii="Calibri" w:hAnsi="Calibri" w:eastAsia="Times New Roman" w:cs="Times New Roman"/>
                <w:b/>
                <w:bCs/>
                <w:color w:val="000000"/>
                <w:sz w:val="18"/>
                <w:szCs w:val="18"/>
                <w:lang w:eastAsia="zh-CN"/>
              </w:rPr>
            </w:pPr>
            <w:r w:rsidRPr="00042C1E">
              <w:rPr>
                <w:rFonts w:ascii="Calibri" w:hAnsi="Calibri" w:eastAsia="Times New Roman" w:cs="Times New Roman"/>
                <w:b/>
                <w:bCs/>
                <w:color w:val="000000"/>
                <w:sz w:val="18"/>
                <w:szCs w:val="18"/>
                <w:lang w:eastAsia="zh-CN"/>
              </w:rPr>
              <w:t xml:space="preserve">                10,532,470 </w:t>
            </w:r>
          </w:p>
        </w:tc>
        <w:tc>
          <w:tcPr>
            <w:tcW w:w="888" w:type="dxa"/>
            <w:tcBorders>
              <w:top w:val="single" w:color="4472C4" w:sz="4" w:space="0"/>
              <w:left w:val="nil"/>
              <w:bottom w:val="nil"/>
              <w:right w:val="nil"/>
            </w:tcBorders>
            <w:shd w:val="clear" w:color="000000" w:fill="FFF2CC"/>
            <w:noWrap/>
            <w:vAlign w:val="bottom"/>
            <w:hideMark/>
          </w:tcPr>
          <w:p w:rsidRPr="00042C1E" w:rsidR="00042C1E" w:rsidP="00042C1E" w:rsidRDefault="00042C1E" w14:paraId="3864F376"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31%</w:t>
            </w:r>
          </w:p>
        </w:tc>
        <w:tc>
          <w:tcPr>
            <w:tcW w:w="4183" w:type="dxa"/>
            <w:tcBorders>
              <w:top w:val="single" w:color="4472C4" w:sz="4" w:space="0"/>
              <w:left w:val="nil"/>
              <w:bottom w:val="nil"/>
              <w:right w:val="single" w:color="4472C4" w:sz="4" w:space="0"/>
            </w:tcBorders>
            <w:shd w:val="clear" w:color="auto" w:fill="auto"/>
            <w:vAlign w:val="bottom"/>
            <w:hideMark/>
          </w:tcPr>
          <w:p w:rsidRPr="00042C1E" w:rsidR="00042C1E" w:rsidP="00042C1E" w:rsidRDefault="00042C1E" w14:paraId="13DCC226" w14:textId="77777777">
            <w:pPr>
              <w:spacing w:after="0" w:line="240" w:lineRule="auto"/>
              <w:rPr>
                <w:rFonts w:ascii="Calibri" w:hAnsi="Calibri" w:eastAsia="Times New Roman" w:cs="Times New Roman"/>
                <w:color w:val="000000"/>
                <w:sz w:val="18"/>
                <w:szCs w:val="18"/>
                <w:lang w:eastAsia="zh-CN"/>
              </w:rPr>
            </w:pPr>
            <w:proofErr w:type="spellStart"/>
            <w:r w:rsidRPr="00042C1E">
              <w:rPr>
                <w:rFonts w:ascii="Calibri" w:hAnsi="Calibri" w:eastAsia="Times New Roman" w:cs="Times New Roman"/>
                <w:color w:val="000000"/>
                <w:sz w:val="18"/>
                <w:szCs w:val="18"/>
                <w:lang w:eastAsia="zh-CN"/>
              </w:rPr>
              <w:t>AleppoDeir-ez-ZorRural</w:t>
            </w:r>
            <w:proofErr w:type="spellEnd"/>
            <w:r w:rsidRPr="00042C1E">
              <w:rPr>
                <w:rFonts w:ascii="Calibri" w:hAnsi="Calibri" w:eastAsia="Times New Roman" w:cs="Times New Roman"/>
                <w:color w:val="000000"/>
                <w:sz w:val="18"/>
                <w:szCs w:val="18"/>
                <w:lang w:eastAsia="zh-CN"/>
              </w:rPr>
              <w:t xml:space="preserve"> Damascus;</w:t>
            </w:r>
          </w:p>
        </w:tc>
      </w:tr>
      <w:tr w:rsidRPr="00042C1E" w:rsidR="00042C1E" w:rsidTr="00495BE0" w14:paraId="29097B38" w14:textId="77777777">
        <w:trPr>
          <w:trHeight w:val="249"/>
        </w:trPr>
        <w:tc>
          <w:tcPr>
            <w:tcW w:w="2050" w:type="dxa"/>
            <w:tcBorders>
              <w:top w:val="single" w:color="4472C4" w:sz="4" w:space="0"/>
              <w:left w:val="single" w:color="4472C4" w:sz="4" w:space="0"/>
              <w:bottom w:val="single" w:color="4472C4" w:sz="4" w:space="0"/>
              <w:right w:val="nil"/>
            </w:tcBorders>
            <w:shd w:val="clear" w:color="auto" w:fill="auto"/>
            <w:vAlign w:val="center"/>
            <w:hideMark/>
          </w:tcPr>
          <w:p w:rsidRPr="00042C1E" w:rsidR="00042C1E" w:rsidP="00042C1E" w:rsidRDefault="00042C1E" w14:paraId="7CCE64C6" w14:textId="77777777">
            <w:pPr>
              <w:spacing w:after="0" w:line="240" w:lineRule="auto"/>
              <w:rPr>
                <w:rFonts w:ascii="Calibri" w:hAnsi="Calibri" w:eastAsia="Times New Roman" w:cs="Times New Roman"/>
                <w:color w:val="000000"/>
                <w:sz w:val="18"/>
                <w:szCs w:val="18"/>
                <w:lang w:eastAsia="zh-CN"/>
              </w:rPr>
            </w:pPr>
            <w:proofErr w:type="spellStart"/>
            <w:r w:rsidRPr="00042C1E">
              <w:rPr>
                <w:rFonts w:ascii="Calibri" w:hAnsi="Calibri" w:eastAsia="Times New Roman" w:cs="Times New Roman"/>
                <w:color w:val="000000"/>
                <w:sz w:val="18"/>
                <w:szCs w:val="18"/>
                <w:lang w:eastAsia="zh-CN"/>
              </w:rPr>
              <w:t>Shafak</w:t>
            </w:r>
            <w:proofErr w:type="spellEnd"/>
            <w:r w:rsidRPr="00042C1E">
              <w:rPr>
                <w:rFonts w:ascii="Calibri" w:hAnsi="Calibri" w:eastAsia="Times New Roman" w:cs="Times New Roman"/>
                <w:color w:val="000000"/>
                <w:sz w:val="18"/>
                <w:szCs w:val="18"/>
                <w:lang w:eastAsia="zh-CN"/>
              </w:rPr>
              <w:t xml:space="preserve"> Organization</w:t>
            </w:r>
          </w:p>
        </w:tc>
        <w:tc>
          <w:tcPr>
            <w:tcW w:w="1231" w:type="dxa"/>
            <w:tcBorders>
              <w:top w:val="single" w:color="4472C4" w:sz="4" w:space="0"/>
              <w:left w:val="nil"/>
              <w:bottom w:val="single" w:color="4472C4" w:sz="4" w:space="0"/>
              <w:right w:val="nil"/>
            </w:tcBorders>
            <w:shd w:val="clear" w:color="auto" w:fill="auto"/>
            <w:noWrap/>
            <w:vAlign w:val="bottom"/>
            <w:hideMark/>
          </w:tcPr>
          <w:p w:rsidRPr="00042C1E" w:rsidR="00042C1E" w:rsidP="00042C1E" w:rsidRDefault="00042C1E" w14:paraId="14FCFD70"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 xml:space="preserve">                12,915,000 </w:t>
            </w:r>
          </w:p>
        </w:tc>
        <w:tc>
          <w:tcPr>
            <w:tcW w:w="1108" w:type="dxa"/>
            <w:tcBorders>
              <w:top w:val="single" w:color="4472C4" w:sz="4" w:space="0"/>
              <w:left w:val="nil"/>
              <w:bottom w:val="single" w:color="4472C4" w:sz="4" w:space="0"/>
              <w:right w:val="nil"/>
            </w:tcBorders>
            <w:shd w:val="clear" w:color="000000" w:fill="FFCCCC"/>
            <w:noWrap/>
            <w:vAlign w:val="bottom"/>
            <w:hideMark/>
          </w:tcPr>
          <w:p w:rsidRPr="00042C1E" w:rsidR="00042C1E" w:rsidP="00042C1E" w:rsidRDefault="00042C1E" w14:paraId="48936EC1"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24%</w:t>
            </w:r>
          </w:p>
        </w:tc>
        <w:tc>
          <w:tcPr>
            <w:tcW w:w="1231" w:type="dxa"/>
            <w:tcBorders>
              <w:top w:val="single" w:color="4472C4" w:sz="4" w:space="0"/>
              <w:left w:val="nil"/>
              <w:bottom w:val="single" w:color="4472C4" w:sz="4" w:space="0"/>
              <w:right w:val="nil"/>
            </w:tcBorders>
            <w:shd w:val="clear" w:color="auto" w:fill="auto"/>
            <w:noWrap/>
            <w:vAlign w:val="bottom"/>
            <w:hideMark/>
          </w:tcPr>
          <w:p w:rsidRPr="00042C1E" w:rsidR="00042C1E" w:rsidP="00042C1E" w:rsidRDefault="00042C1E" w14:paraId="5B0CBD60" w14:textId="77777777">
            <w:pPr>
              <w:spacing w:after="0" w:line="240" w:lineRule="auto"/>
              <w:jc w:val="right"/>
              <w:rPr>
                <w:rFonts w:ascii="Calibri" w:hAnsi="Calibri" w:eastAsia="Times New Roman" w:cs="Times New Roman"/>
                <w:b/>
                <w:bCs/>
                <w:color w:val="000000"/>
                <w:sz w:val="18"/>
                <w:szCs w:val="18"/>
                <w:lang w:eastAsia="zh-CN"/>
              </w:rPr>
            </w:pPr>
            <w:r w:rsidRPr="00042C1E">
              <w:rPr>
                <w:rFonts w:ascii="Calibri" w:hAnsi="Calibri" w:eastAsia="Times New Roman" w:cs="Times New Roman"/>
                <w:b/>
                <w:bCs/>
                <w:color w:val="000000"/>
                <w:sz w:val="18"/>
                <w:szCs w:val="18"/>
                <w:lang w:eastAsia="zh-CN"/>
              </w:rPr>
              <w:t xml:space="preserve">                   9,842,941 </w:t>
            </w:r>
          </w:p>
        </w:tc>
        <w:tc>
          <w:tcPr>
            <w:tcW w:w="888" w:type="dxa"/>
            <w:tcBorders>
              <w:top w:val="single" w:color="4472C4" w:sz="4" w:space="0"/>
              <w:left w:val="nil"/>
              <w:bottom w:val="nil"/>
              <w:right w:val="nil"/>
            </w:tcBorders>
            <w:shd w:val="clear" w:color="000000" w:fill="C6E0B4"/>
            <w:noWrap/>
            <w:vAlign w:val="bottom"/>
            <w:hideMark/>
          </w:tcPr>
          <w:p w:rsidRPr="00042C1E" w:rsidR="00042C1E" w:rsidP="00042C1E" w:rsidRDefault="00042C1E" w14:paraId="12C9EEDC" w14:textId="77777777">
            <w:pPr>
              <w:spacing w:after="0" w:line="240" w:lineRule="auto"/>
              <w:jc w:val="right"/>
              <w:rPr>
                <w:rFonts w:ascii="Calibri" w:hAnsi="Calibri" w:eastAsia="Times New Roman" w:cs="Times New Roman"/>
                <w:color w:val="000000"/>
                <w:sz w:val="18"/>
                <w:szCs w:val="18"/>
                <w:lang w:eastAsia="zh-CN"/>
              </w:rPr>
            </w:pPr>
            <w:r w:rsidRPr="00042C1E">
              <w:rPr>
                <w:rFonts w:ascii="Calibri" w:hAnsi="Calibri" w:eastAsia="Times New Roman" w:cs="Times New Roman"/>
                <w:color w:val="000000"/>
                <w:sz w:val="18"/>
                <w:szCs w:val="18"/>
                <w:lang w:eastAsia="zh-CN"/>
              </w:rPr>
              <w:t>-24%</w:t>
            </w:r>
          </w:p>
        </w:tc>
        <w:tc>
          <w:tcPr>
            <w:tcW w:w="4183" w:type="dxa"/>
            <w:tcBorders>
              <w:top w:val="single" w:color="4472C4" w:sz="4" w:space="0"/>
              <w:left w:val="nil"/>
              <w:bottom w:val="single" w:color="4472C4" w:sz="4" w:space="0"/>
              <w:right w:val="single" w:color="4472C4" w:sz="4" w:space="0"/>
            </w:tcBorders>
            <w:shd w:val="clear" w:color="auto" w:fill="auto"/>
            <w:vAlign w:val="bottom"/>
            <w:hideMark/>
          </w:tcPr>
          <w:p w:rsidRPr="00042C1E" w:rsidR="00042C1E" w:rsidP="00042C1E" w:rsidRDefault="00042C1E" w14:paraId="67DD1F5F"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042C1E">
              <w:rPr>
                <w:rFonts w:ascii="Calibri" w:hAnsi="Calibri" w:eastAsia="Times New Roman" w:cs="Times New Roman"/>
                <w:color w:val="000000"/>
                <w:sz w:val="18"/>
                <w:szCs w:val="18"/>
                <w:lang w:eastAsia="zh-CN"/>
              </w:rPr>
              <w:t>Aleppo;Idleb</w:t>
            </w:r>
            <w:proofErr w:type="spellEnd"/>
            <w:proofErr w:type="gramEnd"/>
          </w:p>
        </w:tc>
      </w:tr>
    </w:tbl>
    <w:p w:rsidRPr="00C01174" w:rsidR="00945D98" w:rsidP="00EA1163" w:rsidRDefault="00945D98" w14:paraId="50C56C4B" w14:textId="77777777">
      <w:pPr>
        <w:spacing w:line="240" w:lineRule="auto"/>
      </w:pPr>
    </w:p>
    <w:p w:rsidRPr="00DA1173" w:rsidR="00945D98" w:rsidP="00945D98" w:rsidRDefault="00945D98" w14:paraId="40D855A2" w14:textId="77777777">
      <w:pPr>
        <w:pStyle w:val="ListParagraph"/>
        <w:ind w:left="792"/>
      </w:pPr>
    </w:p>
    <w:p w:rsidR="00E4664E" w:rsidP="00EA1163" w:rsidRDefault="00E4664E" w14:paraId="395443E0" w14:textId="34F8B1CA">
      <w:pPr>
        <w:tabs>
          <w:tab w:val="left" w:pos="1578"/>
        </w:tabs>
        <w:spacing w:line="240" w:lineRule="auto"/>
      </w:pPr>
    </w:p>
    <w:p w:rsidR="00A31F3C" w:rsidRDefault="00A31F3C" w14:paraId="15862D68" w14:textId="77777777">
      <w:pPr>
        <w:rPr>
          <w:b/>
          <w:bCs/>
          <w:sz w:val="24"/>
          <w:szCs w:val="24"/>
        </w:rPr>
      </w:pPr>
      <w:r>
        <w:rPr>
          <w:b/>
          <w:bCs/>
          <w:sz w:val="24"/>
          <w:szCs w:val="24"/>
        </w:rPr>
        <w:br w:type="page"/>
      </w:r>
    </w:p>
    <w:p w:rsidR="00E4664E" w:rsidP="00EA1163" w:rsidRDefault="00694049" w14:paraId="12C3DA42" w14:textId="6FA55BBC">
      <w:pPr>
        <w:tabs>
          <w:tab w:val="left" w:pos="1578"/>
        </w:tabs>
        <w:spacing w:line="240" w:lineRule="auto"/>
        <w:jc w:val="center"/>
        <w:rPr>
          <w:b/>
          <w:bCs/>
          <w:sz w:val="24"/>
          <w:szCs w:val="24"/>
        </w:rPr>
      </w:pPr>
      <w:r w:rsidRPr="00C236A5">
        <w:rPr>
          <w:b/>
          <w:bCs/>
          <w:sz w:val="24"/>
          <w:szCs w:val="24"/>
        </w:rPr>
        <w:t>Nutrition</w:t>
      </w:r>
    </w:p>
    <w:p w:rsidRPr="00506C79" w:rsidR="00C236A5" w:rsidP="00EA1163" w:rsidRDefault="00C236A5" w14:paraId="35EFD6BF" w14:textId="291F67CC">
      <w:pPr>
        <w:tabs>
          <w:tab w:val="left" w:pos="1578"/>
        </w:tabs>
        <w:spacing w:line="240" w:lineRule="auto"/>
        <w:rPr>
          <w:b/>
          <w:bCs/>
          <w:sz w:val="20"/>
          <w:szCs w:val="20"/>
        </w:rPr>
      </w:pPr>
      <w:r w:rsidRPr="00506C79">
        <w:rPr>
          <w:b/>
          <w:bCs/>
          <w:sz w:val="20"/>
          <w:szCs w:val="20"/>
        </w:rPr>
        <w:t>Name of Coordinator:</w:t>
      </w:r>
      <w:r w:rsidRPr="00506C79" w:rsidR="00607C84">
        <w:rPr>
          <w:sz w:val="20"/>
          <w:szCs w:val="20"/>
        </w:rPr>
        <w:t xml:space="preserve"> Tarig Mekkawi</w:t>
      </w:r>
      <w:r w:rsidR="00A31F3C">
        <w:rPr>
          <w:sz w:val="20"/>
          <w:szCs w:val="20"/>
        </w:rPr>
        <w:t>/UNICEF</w:t>
      </w:r>
      <w:r w:rsidRPr="00506C79" w:rsidR="00607C84">
        <w:rPr>
          <w:b/>
          <w:bCs/>
          <w:sz w:val="20"/>
          <w:szCs w:val="20"/>
        </w:rPr>
        <w:t> </w:t>
      </w:r>
      <w:r w:rsidRPr="00506C79">
        <w:rPr>
          <w:b/>
          <w:bCs/>
          <w:sz w:val="20"/>
          <w:szCs w:val="20"/>
        </w:rPr>
        <w:t xml:space="preserve"> </w:t>
      </w:r>
    </w:p>
    <w:p w:rsidRPr="00506C79" w:rsidR="00506C79" w:rsidP="00EA1163" w:rsidRDefault="00506C79" w14:paraId="70A35096" w14:textId="19A79436">
      <w:pPr>
        <w:pBdr>
          <w:top w:val="single" w:color="auto" w:sz="4" w:space="1"/>
          <w:left w:val="single" w:color="auto" w:sz="4" w:space="4"/>
          <w:bottom w:val="single" w:color="auto" w:sz="4" w:space="1"/>
          <w:right w:val="single" w:color="auto" w:sz="4" w:space="4"/>
        </w:pBdr>
        <w:spacing w:line="240" w:lineRule="auto"/>
        <w:jc w:val="center"/>
        <w:rPr>
          <w:b/>
          <w:bCs/>
          <w:color w:val="2F5496" w:themeColor="accent1" w:themeShade="BF"/>
          <w:sz w:val="20"/>
          <w:szCs w:val="20"/>
        </w:rPr>
      </w:pPr>
      <w:r w:rsidRPr="00506C79">
        <w:rPr>
          <w:b/>
          <w:bCs/>
          <w:color w:val="2F5496" w:themeColor="accent1" w:themeShade="BF"/>
          <w:highlight w:val="yellow"/>
        </w:rPr>
        <w:t>Possible points to raise:</w:t>
      </w:r>
    </w:p>
    <w:p w:rsidRPr="00E45764" w:rsidR="008A70AE" w:rsidP="00EA1163" w:rsidRDefault="008A70AE" w14:paraId="2D42D1CA" w14:textId="2C86F997">
      <w:pPr>
        <w:numPr>
          <w:ilvl w:val="0"/>
          <w:numId w:val="21"/>
        </w:numPr>
        <w:pBdr>
          <w:top w:val="single" w:color="auto" w:sz="4" w:space="1"/>
          <w:left w:val="single" w:color="auto" w:sz="4" w:space="4"/>
          <w:bottom w:val="single" w:color="auto" w:sz="4" w:space="1"/>
          <w:right w:val="single" w:color="auto" w:sz="4" w:space="4"/>
        </w:pBdr>
        <w:spacing w:line="240" w:lineRule="auto"/>
        <w:rPr>
          <w:b/>
          <w:bCs/>
          <w:color w:val="2F5496" w:themeColor="accent1" w:themeShade="BF"/>
        </w:rPr>
      </w:pPr>
      <w:r w:rsidRPr="00E45764">
        <w:rPr>
          <w:b/>
          <w:bCs/>
          <w:color w:val="2F5496" w:themeColor="accent1" w:themeShade="BF"/>
        </w:rPr>
        <w:t xml:space="preserve">We fully agree that the </w:t>
      </w:r>
      <w:r w:rsidRPr="00E45764" w:rsidR="00506C79">
        <w:rPr>
          <w:b/>
          <w:bCs/>
          <w:color w:val="2F5496" w:themeColor="accent1" w:themeShade="BF"/>
        </w:rPr>
        <w:t>increase in both acute and chronic malnutrition rates is extremely concerning</w:t>
      </w:r>
      <w:r w:rsidRPr="00E45764">
        <w:rPr>
          <w:b/>
          <w:bCs/>
          <w:color w:val="2F5496" w:themeColor="accent1" w:themeShade="BF"/>
        </w:rPr>
        <w:t>. At the same time</w:t>
      </w:r>
      <w:r w:rsidRPr="00E45764" w:rsidR="00506C79">
        <w:rPr>
          <w:b/>
          <w:bCs/>
          <w:color w:val="2F5496" w:themeColor="accent1" w:themeShade="BF"/>
        </w:rPr>
        <w:t xml:space="preserve">, the sector proposes a 2021 budget which is more than double </w:t>
      </w:r>
      <w:r w:rsidRPr="00E45764">
        <w:rPr>
          <w:b/>
          <w:bCs/>
          <w:color w:val="2F5496" w:themeColor="accent1" w:themeShade="BF"/>
        </w:rPr>
        <w:t xml:space="preserve">that of 2020, while only </w:t>
      </w:r>
      <w:r w:rsidRPr="00E45764" w:rsidR="00E45764">
        <w:rPr>
          <w:b/>
          <w:bCs/>
          <w:color w:val="2F5496" w:themeColor="accent1" w:themeShade="BF"/>
        </w:rPr>
        <w:t>having</w:t>
      </w:r>
      <w:r w:rsidRPr="00E45764">
        <w:rPr>
          <w:b/>
          <w:bCs/>
          <w:color w:val="2F5496" w:themeColor="accent1" w:themeShade="BF"/>
        </w:rPr>
        <w:t xml:space="preserve"> received 36% of the required funding last year. </w:t>
      </w:r>
      <w:r w:rsidR="00587251">
        <w:rPr>
          <w:b/>
          <w:bCs/>
          <w:color w:val="2F5496" w:themeColor="accent1" w:themeShade="BF"/>
        </w:rPr>
        <w:t xml:space="preserve">The 2021 increase appears to mainly stem from a WFP nutrition project, with a budget that has more than tripled compared to 2020. Was this increase coordinated with WFP (or the Food Security Sector at large)?  </w:t>
      </w:r>
    </w:p>
    <w:p w:rsidRPr="00E45764" w:rsidR="008A70AE" w:rsidP="00EA1163" w:rsidRDefault="00587251" w14:paraId="04867A3F" w14:textId="2FB14C51">
      <w:pPr>
        <w:numPr>
          <w:ilvl w:val="0"/>
          <w:numId w:val="21"/>
        </w:numPr>
        <w:pBdr>
          <w:top w:val="single" w:color="auto" w:sz="4" w:space="1"/>
          <w:left w:val="single" w:color="auto" w:sz="4" w:space="4"/>
          <w:bottom w:val="single" w:color="auto" w:sz="4" w:space="1"/>
          <w:right w:val="single" w:color="auto" w:sz="4" w:space="4"/>
        </w:pBdr>
        <w:spacing w:line="240" w:lineRule="auto"/>
        <w:rPr>
          <w:b/>
          <w:bCs/>
          <w:color w:val="2F5496" w:themeColor="accent1" w:themeShade="BF"/>
        </w:rPr>
      </w:pPr>
      <w:r>
        <w:rPr>
          <w:b/>
          <w:bCs/>
          <w:color w:val="2F5496" w:themeColor="accent1" w:themeShade="BF"/>
        </w:rPr>
        <w:t>Other than potential underfunding, w</w:t>
      </w:r>
      <w:r w:rsidRPr="00E45764" w:rsidR="008A70AE">
        <w:rPr>
          <w:b/>
          <w:bCs/>
          <w:color w:val="2F5496" w:themeColor="accent1" w:themeShade="BF"/>
        </w:rPr>
        <w:t>hat operational challenges do you foresee for scaling up malnutrition treatment programs to the required level</w:t>
      </w:r>
      <w:r>
        <w:rPr>
          <w:b/>
          <w:bCs/>
          <w:color w:val="2F5496" w:themeColor="accent1" w:themeShade="BF"/>
        </w:rPr>
        <w:t xml:space="preserve"> in 2021</w:t>
      </w:r>
      <w:r w:rsidRPr="00E45764" w:rsidR="008A70AE">
        <w:rPr>
          <w:b/>
          <w:bCs/>
          <w:color w:val="2F5496" w:themeColor="accent1" w:themeShade="BF"/>
        </w:rPr>
        <w:t>?</w:t>
      </w:r>
    </w:p>
    <w:p w:rsidR="00E45764" w:rsidP="00EA1163" w:rsidRDefault="00E45764" w14:paraId="5AF910D0" w14:textId="0A4AFFB1">
      <w:pPr>
        <w:numPr>
          <w:ilvl w:val="0"/>
          <w:numId w:val="21"/>
        </w:numPr>
        <w:pBdr>
          <w:top w:val="single" w:color="auto" w:sz="4" w:space="1"/>
          <w:left w:val="single" w:color="auto" w:sz="4" w:space="4"/>
          <w:bottom w:val="single" w:color="auto" w:sz="4" w:space="1"/>
          <w:right w:val="single" w:color="auto" w:sz="4" w:space="4"/>
        </w:pBdr>
        <w:spacing w:line="240" w:lineRule="auto"/>
        <w:rPr>
          <w:b/>
          <w:bCs/>
          <w:color w:val="2F5496" w:themeColor="accent1" w:themeShade="BF"/>
        </w:rPr>
      </w:pPr>
      <w:r w:rsidRPr="00E45764">
        <w:rPr>
          <w:b/>
          <w:bCs/>
          <w:color w:val="2F5496" w:themeColor="accent1" w:themeShade="BF"/>
        </w:rPr>
        <w:t xml:space="preserve">What progress has been made in terms of ensuring an integrated response to malnutrition, in coordination with FAS, health, WASH and protection sectors? Practically, at </w:t>
      </w:r>
      <w:proofErr w:type="spellStart"/>
      <w:r w:rsidR="00587251">
        <w:rPr>
          <w:b/>
          <w:bCs/>
          <w:color w:val="2F5496" w:themeColor="accent1" w:themeShade="BF"/>
        </w:rPr>
        <w:t>WoS</w:t>
      </w:r>
      <w:proofErr w:type="spellEnd"/>
      <w:r w:rsidR="00587251">
        <w:rPr>
          <w:b/>
          <w:bCs/>
          <w:color w:val="2F5496" w:themeColor="accent1" w:themeShade="BF"/>
        </w:rPr>
        <w:t xml:space="preserve"> level /</w:t>
      </w:r>
      <w:r w:rsidRPr="00E45764">
        <w:rPr>
          <w:b/>
          <w:bCs/>
          <w:color w:val="2F5496" w:themeColor="accent1" w:themeShade="BF"/>
        </w:rPr>
        <w:t xml:space="preserve"> crisis-wide level, what </w:t>
      </w:r>
      <w:r>
        <w:rPr>
          <w:b/>
          <w:bCs/>
          <w:color w:val="2F5496" w:themeColor="accent1" w:themeShade="BF"/>
        </w:rPr>
        <w:t>does this multi</w:t>
      </w:r>
      <w:r w:rsidRPr="00E45764">
        <w:rPr>
          <w:b/>
          <w:bCs/>
          <w:color w:val="2F5496" w:themeColor="accent1" w:themeShade="BF"/>
        </w:rPr>
        <w:t>-sectoral coordination focus on</w:t>
      </w:r>
      <w:r>
        <w:rPr>
          <w:b/>
          <w:bCs/>
          <w:color w:val="2F5496" w:themeColor="accent1" w:themeShade="BF"/>
        </w:rPr>
        <w:t xml:space="preserve"> and what </w:t>
      </w:r>
      <w:r w:rsidR="00587251">
        <w:rPr>
          <w:b/>
          <w:bCs/>
          <w:color w:val="2F5496" w:themeColor="accent1" w:themeShade="BF"/>
        </w:rPr>
        <w:t>may need</w:t>
      </w:r>
      <w:r>
        <w:rPr>
          <w:b/>
          <w:bCs/>
          <w:color w:val="2F5496" w:themeColor="accent1" w:themeShade="BF"/>
        </w:rPr>
        <w:t xml:space="preserve"> to be enhanced to ensure impact</w:t>
      </w:r>
      <w:r w:rsidRPr="00E45764">
        <w:rPr>
          <w:b/>
          <w:bCs/>
          <w:color w:val="2F5496" w:themeColor="accent1" w:themeShade="BF"/>
        </w:rPr>
        <w:t>?</w:t>
      </w:r>
    </w:p>
    <w:p w:rsidRPr="00E45764" w:rsidR="00506C79" w:rsidP="00EA1163" w:rsidRDefault="00506C79" w14:paraId="0D489558" w14:textId="77777777">
      <w:pPr>
        <w:pBdr>
          <w:top w:val="single" w:color="auto" w:sz="4" w:space="1"/>
          <w:left w:val="single" w:color="auto" w:sz="4" w:space="4"/>
          <w:bottom w:val="single" w:color="auto" w:sz="4" w:space="1"/>
          <w:right w:val="single" w:color="auto" w:sz="4" w:space="4"/>
        </w:pBdr>
        <w:spacing w:line="240" w:lineRule="auto"/>
        <w:rPr>
          <w:b/>
          <w:bCs/>
          <w:color w:val="2F5496" w:themeColor="accent1" w:themeShade="BF"/>
        </w:rPr>
      </w:pPr>
    </w:p>
    <w:p w:rsidRPr="005D24D5" w:rsidR="001770B9" w:rsidP="00EA1163" w:rsidRDefault="001770B9" w14:paraId="52855188" w14:textId="77777777">
      <w:pPr>
        <w:pStyle w:val="ListParagraph"/>
        <w:numPr>
          <w:ilvl w:val="0"/>
          <w:numId w:val="36"/>
        </w:numPr>
        <w:spacing w:after="160"/>
        <w:contextualSpacing/>
        <w:rPr>
          <w:rFonts w:cstheme="minorHAnsi"/>
          <w:b/>
          <w:sz w:val="20"/>
          <w:szCs w:val="20"/>
        </w:rPr>
      </w:pPr>
      <w:r w:rsidRPr="005D24D5">
        <w:rPr>
          <w:rFonts w:cstheme="minorHAnsi"/>
          <w:b/>
          <w:sz w:val="20"/>
          <w:szCs w:val="20"/>
        </w:rPr>
        <w:t>2021 Key figures</w:t>
      </w:r>
    </w:p>
    <w:p w:rsidRPr="005D24D5" w:rsidR="00607C84" w:rsidP="00EA1163" w:rsidRDefault="00607C84" w14:paraId="26F8FAFE" w14:textId="77777777">
      <w:pPr>
        <w:pStyle w:val="ListParagraph"/>
        <w:spacing w:after="160"/>
        <w:ind w:left="630"/>
        <w:contextualSpacing/>
        <w:rPr>
          <w:rFonts w:cstheme="minorHAnsi"/>
          <w:b/>
          <w:sz w:val="20"/>
          <w:szCs w:val="20"/>
        </w:rPr>
      </w:pPr>
    </w:p>
    <w:tbl>
      <w:tblPr>
        <w:tblStyle w:val="PlainTable4"/>
        <w:tblW w:w="8910"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4"/>
        <w:gridCol w:w="1232"/>
        <w:gridCol w:w="1230"/>
        <w:gridCol w:w="1232"/>
        <w:gridCol w:w="1234"/>
        <w:gridCol w:w="1232"/>
        <w:gridCol w:w="991"/>
        <w:gridCol w:w="975"/>
      </w:tblGrid>
      <w:tr w:rsidRPr="007E5EEA" w:rsidR="001770B9" w:rsidTr="00E45764" w14:paraId="4A3643D9"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016" w:type="dxa"/>
            <w:gridSpan w:val="2"/>
          </w:tcPr>
          <w:p w:rsidRPr="009B1EFB" w:rsidR="001770B9" w:rsidP="00191CB2" w:rsidRDefault="001770B9" w14:paraId="5F95B25C" w14:textId="77777777">
            <w:pPr>
              <w:pStyle w:val="ListParagraph"/>
              <w:ind w:left="0"/>
              <w:jc w:val="center"/>
              <w:rPr>
                <w:rFonts w:cstheme="minorHAnsi"/>
                <w:iCs/>
              </w:rPr>
            </w:pPr>
            <w:r w:rsidRPr="009B1EFB">
              <w:rPr>
                <w:rFonts w:cstheme="minorHAnsi"/>
                <w:iCs/>
              </w:rPr>
              <w:t>People in Need</w:t>
            </w:r>
          </w:p>
        </w:tc>
        <w:tc>
          <w:tcPr>
            <w:tcW w:w="2462" w:type="dxa"/>
            <w:gridSpan w:val="2"/>
          </w:tcPr>
          <w:p w:rsidRPr="009B1EFB" w:rsidR="001770B9" w:rsidP="00191CB2" w:rsidRDefault="001770B9" w14:paraId="0CE8591A"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Cs/>
              </w:rPr>
            </w:pPr>
            <w:r w:rsidRPr="009B1EFB">
              <w:rPr>
                <w:rFonts w:cstheme="minorHAnsi"/>
                <w:iCs/>
              </w:rPr>
              <w:t>Target</w:t>
            </w:r>
          </w:p>
        </w:tc>
        <w:tc>
          <w:tcPr>
            <w:tcW w:w="2466" w:type="dxa"/>
            <w:gridSpan w:val="2"/>
          </w:tcPr>
          <w:p w:rsidRPr="009B1EFB" w:rsidR="001770B9" w:rsidP="00191CB2" w:rsidRDefault="001770B9" w14:paraId="48AF0094"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Cs/>
              </w:rPr>
            </w:pPr>
            <w:r w:rsidRPr="009B1EFB">
              <w:rPr>
                <w:rFonts w:cstheme="minorHAnsi"/>
                <w:iCs/>
              </w:rPr>
              <w:t>Funding requirements</w:t>
            </w:r>
          </w:p>
        </w:tc>
        <w:tc>
          <w:tcPr>
            <w:tcW w:w="991" w:type="dxa"/>
          </w:tcPr>
          <w:p w:rsidRPr="009B1EFB" w:rsidR="001770B9" w:rsidP="00191CB2" w:rsidRDefault="001770B9" w14:paraId="7CB60833" w14:textId="77777777">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iCs/>
              </w:rPr>
            </w:pPr>
            <w:r w:rsidRPr="009B1EFB">
              <w:rPr>
                <w:rFonts w:cstheme="minorHAnsi"/>
                <w:iCs/>
              </w:rPr>
              <w:t xml:space="preserve">Partners </w:t>
            </w:r>
          </w:p>
        </w:tc>
        <w:tc>
          <w:tcPr>
            <w:tcW w:w="975" w:type="dxa"/>
          </w:tcPr>
          <w:p w:rsidRPr="009B1EFB" w:rsidR="001770B9" w:rsidP="00191CB2" w:rsidRDefault="001770B9" w14:paraId="6E6595F1" w14:textId="77777777">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iCs/>
              </w:rPr>
            </w:pPr>
            <w:r w:rsidRPr="009B1EFB">
              <w:rPr>
                <w:rFonts w:cstheme="minorHAnsi"/>
                <w:iCs/>
              </w:rPr>
              <w:t xml:space="preserve">Projects </w:t>
            </w:r>
          </w:p>
        </w:tc>
      </w:tr>
      <w:tr w:rsidRPr="007E5EEA" w:rsidR="00F82DFC" w:rsidTr="00E45764" w14:paraId="364E1AFA" w14:textId="7777777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84" w:type="dxa"/>
          </w:tcPr>
          <w:p w:rsidRPr="009B1EFB" w:rsidR="001770B9" w:rsidP="00191CB2" w:rsidRDefault="001770B9" w14:paraId="1ED5BB11" w14:textId="77777777">
            <w:pPr>
              <w:pStyle w:val="ListParagraph"/>
              <w:ind w:left="0"/>
              <w:rPr>
                <w:rFonts w:cstheme="minorHAnsi"/>
                <w:b w:val="0"/>
                <w:i/>
                <w:sz w:val="16"/>
                <w:szCs w:val="16"/>
              </w:rPr>
            </w:pPr>
            <w:r w:rsidRPr="009B1EFB">
              <w:rPr>
                <w:rFonts w:cstheme="minorHAnsi"/>
                <w:i/>
                <w:sz w:val="16"/>
                <w:szCs w:val="16"/>
              </w:rPr>
              <w:t>In million</w:t>
            </w:r>
          </w:p>
        </w:tc>
        <w:tc>
          <w:tcPr>
            <w:tcW w:w="1232" w:type="dxa"/>
          </w:tcPr>
          <w:p w:rsidRPr="009B1EFB" w:rsidR="001770B9" w:rsidP="00191CB2" w:rsidRDefault="001770B9" w14:paraId="08764FD9" w14:textId="7777777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i/>
                <w:sz w:val="16"/>
                <w:szCs w:val="16"/>
              </w:rPr>
            </w:pPr>
            <w:r w:rsidRPr="009B1EFB">
              <w:rPr>
                <w:rFonts w:cstheme="minorHAnsi"/>
                <w:i/>
                <w:sz w:val="16"/>
                <w:szCs w:val="16"/>
              </w:rPr>
              <w:t>% variation in 2020</w:t>
            </w:r>
          </w:p>
        </w:tc>
        <w:tc>
          <w:tcPr>
            <w:tcW w:w="1230" w:type="dxa"/>
          </w:tcPr>
          <w:p w:rsidRPr="009B1EFB" w:rsidR="001770B9" w:rsidP="00191CB2" w:rsidRDefault="001770B9" w14:paraId="3DE1F50D" w14:textId="7777777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i/>
                <w:sz w:val="16"/>
                <w:szCs w:val="16"/>
              </w:rPr>
            </w:pPr>
            <w:r w:rsidRPr="009B1EFB">
              <w:rPr>
                <w:rFonts w:cstheme="minorHAnsi"/>
                <w:i/>
                <w:sz w:val="16"/>
                <w:szCs w:val="16"/>
              </w:rPr>
              <w:t>In million</w:t>
            </w:r>
          </w:p>
        </w:tc>
        <w:tc>
          <w:tcPr>
            <w:tcW w:w="1232" w:type="dxa"/>
          </w:tcPr>
          <w:p w:rsidRPr="009B1EFB" w:rsidR="001770B9" w:rsidP="00191CB2" w:rsidRDefault="001770B9" w14:paraId="2082B690" w14:textId="7777777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i/>
                <w:sz w:val="16"/>
                <w:szCs w:val="16"/>
              </w:rPr>
            </w:pPr>
            <w:r w:rsidRPr="009B1EFB">
              <w:rPr>
                <w:rFonts w:cstheme="minorHAnsi"/>
                <w:i/>
                <w:sz w:val="16"/>
                <w:szCs w:val="16"/>
              </w:rPr>
              <w:t>% variation in 2020</w:t>
            </w:r>
          </w:p>
        </w:tc>
        <w:tc>
          <w:tcPr>
            <w:tcW w:w="1234" w:type="dxa"/>
          </w:tcPr>
          <w:p w:rsidRPr="009B1EFB" w:rsidR="001770B9" w:rsidP="00191CB2" w:rsidRDefault="001770B9" w14:paraId="51A266B0"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b/>
                <w:i/>
                <w:sz w:val="16"/>
                <w:szCs w:val="16"/>
              </w:rPr>
            </w:pPr>
            <w:r w:rsidRPr="009B1EFB">
              <w:rPr>
                <w:rFonts w:cstheme="minorHAnsi"/>
                <w:i/>
                <w:sz w:val="16"/>
                <w:szCs w:val="16"/>
              </w:rPr>
              <w:t>US$</w:t>
            </w:r>
          </w:p>
        </w:tc>
        <w:tc>
          <w:tcPr>
            <w:tcW w:w="1232" w:type="dxa"/>
          </w:tcPr>
          <w:p w:rsidRPr="009B1EFB" w:rsidR="001770B9" w:rsidP="00191CB2" w:rsidRDefault="001770B9" w14:paraId="5E4A4680"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b/>
                <w:i/>
                <w:sz w:val="16"/>
                <w:szCs w:val="16"/>
              </w:rPr>
            </w:pPr>
            <w:r w:rsidRPr="009B1EFB">
              <w:rPr>
                <w:rFonts w:cstheme="minorHAnsi"/>
                <w:i/>
                <w:sz w:val="16"/>
                <w:szCs w:val="16"/>
              </w:rPr>
              <w:t>% variation in 2020</w:t>
            </w:r>
          </w:p>
        </w:tc>
        <w:tc>
          <w:tcPr>
            <w:tcW w:w="991" w:type="dxa"/>
            <w:vMerge w:val="restart"/>
          </w:tcPr>
          <w:p w:rsidRPr="009B1EFB" w:rsidR="001770B9" w:rsidP="00191CB2" w:rsidRDefault="001770B9" w14:paraId="627F9129"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p>
          <w:p w:rsidRPr="009B1EFB" w:rsidR="001770B9" w:rsidP="00191CB2" w:rsidRDefault="001770B9" w14:paraId="52F0CAFA"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b/>
              </w:rPr>
            </w:pPr>
            <w:r w:rsidRPr="009B1EFB">
              <w:rPr>
                <w:rFonts w:cstheme="minorHAnsi"/>
                <w:b/>
              </w:rPr>
              <w:t>2</w:t>
            </w:r>
            <w:r w:rsidRPr="009B1EFB">
              <w:rPr>
                <w:rFonts w:cstheme="minorHAnsi"/>
                <w:b/>
                <w:bCs/>
              </w:rPr>
              <w:t>9</w:t>
            </w:r>
            <w:r w:rsidRPr="009B1EFB">
              <w:rPr>
                <w:rFonts w:cstheme="minorHAnsi"/>
                <w:b/>
              </w:rPr>
              <w:t xml:space="preserve"> </w:t>
            </w:r>
            <w:r w:rsidRPr="009B1EFB">
              <w:rPr>
                <w:rFonts w:cstheme="minorHAnsi"/>
                <w:bCs/>
              </w:rPr>
              <w:t>(+1)</w:t>
            </w:r>
          </w:p>
        </w:tc>
        <w:tc>
          <w:tcPr>
            <w:tcW w:w="975" w:type="dxa"/>
            <w:vMerge w:val="restart"/>
          </w:tcPr>
          <w:p w:rsidRPr="009B1EFB" w:rsidR="001770B9" w:rsidP="00191CB2" w:rsidRDefault="001770B9" w14:paraId="7AA7C709"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p>
          <w:p w:rsidRPr="009B1EFB" w:rsidR="001770B9" w:rsidP="00191CB2" w:rsidRDefault="001770B9" w14:paraId="118BABE5"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b/>
              </w:rPr>
            </w:pPr>
            <w:r w:rsidRPr="009B1EFB">
              <w:rPr>
                <w:rFonts w:cstheme="minorHAnsi"/>
                <w:b/>
                <w:bCs/>
              </w:rPr>
              <w:t>31</w:t>
            </w:r>
            <w:r w:rsidRPr="009B1EFB">
              <w:rPr>
                <w:rFonts w:cstheme="minorHAnsi"/>
                <w:b/>
              </w:rPr>
              <w:t xml:space="preserve"> </w:t>
            </w:r>
            <w:r w:rsidRPr="009B1EFB">
              <w:rPr>
                <w:rFonts w:cstheme="minorHAnsi"/>
                <w:bCs/>
              </w:rPr>
              <w:t>(+2)</w:t>
            </w:r>
          </w:p>
        </w:tc>
      </w:tr>
      <w:tr w:rsidRPr="007E5EEA" w:rsidR="001770B9" w:rsidTr="00E45764" w14:paraId="2E886E91" w14:textId="77777777">
        <w:trPr>
          <w:trHeight w:val="288"/>
        </w:trPr>
        <w:tc>
          <w:tcPr>
            <w:cnfStyle w:val="001000000000" w:firstRow="0" w:lastRow="0" w:firstColumn="1" w:lastColumn="0" w:oddVBand="0" w:evenVBand="0" w:oddHBand="0" w:evenHBand="0" w:firstRowFirstColumn="0" w:firstRowLastColumn="0" w:lastRowFirstColumn="0" w:lastRowLastColumn="0"/>
            <w:tcW w:w="784" w:type="dxa"/>
          </w:tcPr>
          <w:p w:rsidRPr="009B1EFB" w:rsidR="001770B9" w:rsidP="00191CB2" w:rsidRDefault="001770B9" w14:paraId="6D6DB7CB" w14:textId="77777777">
            <w:pPr>
              <w:pStyle w:val="ListParagraph"/>
              <w:ind w:left="0"/>
              <w:rPr>
                <w:rFonts w:cstheme="minorHAnsi"/>
              </w:rPr>
            </w:pPr>
            <w:r w:rsidRPr="009B1EFB">
              <w:rPr>
                <w:rFonts w:cstheme="minorHAnsi"/>
              </w:rPr>
              <w:t>4.9M</w:t>
            </w:r>
          </w:p>
        </w:tc>
        <w:tc>
          <w:tcPr>
            <w:tcW w:w="1232" w:type="dxa"/>
          </w:tcPr>
          <w:p w:rsidRPr="009B1EFB" w:rsidR="001770B9" w:rsidP="00191CB2" w:rsidRDefault="001770B9" w14:paraId="2530D1D2" w14:textId="7777777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9B1EFB">
              <w:rPr>
                <w:rFonts w:cstheme="minorHAnsi"/>
              </w:rPr>
              <w:t>6.5%</w:t>
            </w:r>
          </w:p>
        </w:tc>
        <w:tc>
          <w:tcPr>
            <w:tcW w:w="1230" w:type="dxa"/>
          </w:tcPr>
          <w:p w:rsidRPr="009B1EFB" w:rsidR="001770B9" w:rsidP="00191CB2" w:rsidRDefault="001770B9" w14:paraId="5CEE2E7E" w14:textId="7777777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rPr>
            </w:pPr>
            <w:r w:rsidRPr="009B1EFB">
              <w:rPr>
                <w:rFonts w:cstheme="minorHAnsi"/>
                <w:b/>
                <w:bCs/>
              </w:rPr>
              <w:t>4.1M</w:t>
            </w:r>
          </w:p>
        </w:tc>
        <w:tc>
          <w:tcPr>
            <w:tcW w:w="1232" w:type="dxa"/>
          </w:tcPr>
          <w:p w:rsidRPr="009B1EFB" w:rsidR="001770B9" w:rsidP="00191CB2" w:rsidRDefault="001770B9" w14:paraId="387A835F" w14:textId="7777777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9B1EFB">
              <w:rPr>
                <w:rFonts w:cstheme="minorHAnsi"/>
              </w:rPr>
              <w:t>37%</w:t>
            </w:r>
          </w:p>
        </w:tc>
        <w:tc>
          <w:tcPr>
            <w:tcW w:w="1234" w:type="dxa"/>
          </w:tcPr>
          <w:p w:rsidRPr="009B1EFB" w:rsidR="001770B9" w:rsidP="00191CB2" w:rsidRDefault="001770B9" w14:paraId="4F0EA70E"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b/>
              </w:rPr>
            </w:pPr>
            <w:r w:rsidRPr="009B1EFB">
              <w:rPr>
                <w:rFonts w:cstheme="minorHAnsi"/>
                <w:b/>
                <w:bCs/>
              </w:rPr>
              <w:t>184.4M</w:t>
            </w:r>
          </w:p>
        </w:tc>
        <w:tc>
          <w:tcPr>
            <w:tcW w:w="1232" w:type="dxa"/>
          </w:tcPr>
          <w:p w:rsidRPr="009B1EFB" w:rsidR="001770B9" w:rsidP="00191CB2" w:rsidRDefault="001770B9" w14:paraId="002BB23C"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rPr>
            </w:pPr>
            <w:r w:rsidRPr="009B1EFB">
              <w:rPr>
                <w:rFonts w:cstheme="minorHAnsi"/>
              </w:rPr>
              <w:t>105%</w:t>
            </w:r>
          </w:p>
        </w:tc>
        <w:tc>
          <w:tcPr>
            <w:tcW w:w="991" w:type="dxa"/>
            <w:vMerge/>
          </w:tcPr>
          <w:p w:rsidRPr="005D24D5" w:rsidR="001770B9" w:rsidP="00191CB2" w:rsidRDefault="001770B9" w14:paraId="27615BB9" w14:textId="7777777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975" w:type="dxa"/>
            <w:vMerge/>
          </w:tcPr>
          <w:p w:rsidRPr="005D24D5" w:rsidR="001770B9" w:rsidP="00191CB2" w:rsidRDefault="001770B9" w14:paraId="5D089D53" w14:textId="7777777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bl>
    <w:p w:rsidRPr="0066490E" w:rsidR="001770B9" w:rsidP="00EA1163" w:rsidRDefault="001770B9" w14:paraId="4CBA952E" w14:textId="6D60695E">
      <w:pPr>
        <w:spacing w:line="240" w:lineRule="auto"/>
        <w:rPr>
          <w:rFonts w:cstheme="minorHAnsi"/>
          <w:sz w:val="20"/>
          <w:szCs w:val="20"/>
        </w:rPr>
      </w:pPr>
      <w:r w:rsidRPr="005D24D5" w:rsidDel="007E5EEA">
        <w:rPr>
          <w:rFonts w:cstheme="minorHAnsi"/>
          <w:sz w:val="20"/>
          <w:szCs w:val="20"/>
          <w:highlight w:val="yellow"/>
        </w:rPr>
        <w:t xml:space="preserve"> </w:t>
      </w:r>
    </w:p>
    <w:p w:rsidRPr="005D24D5" w:rsidR="001770B9" w:rsidP="00EA1163" w:rsidRDefault="001770B9" w14:paraId="08277FBA" w14:textId="2680F313">
      <w:pPr>
        <w:pStyle w:val="ListParagraph"/>
        <w:numPr>
          <w:ilvl w:val="0"/>
          <w:numId w:val="36"/>
        </w:numPr>
        <w:spacing w:after="160"/>
        <w:ind w:left="540"/>
        <w:contextualSpacing/>
        <w:rPr>
          <w:rFonts w:cstheme="minorHAnsi"/>
          <w:b/>
          <w:sz w:val="20"/>
          <w:szCs w:val="20"/>
        </w:rPr>
      </w:pPr>
      <w:r w:rsidRPr="005D24D5">
        <w:rPr>
          <w:rFonts w:cstheme="minorHAnsi"/>
          <w:b/>
          <w:sz w:val="20"/>
          <w:szCs w:val="20"/>
        </w:rPr>
        <w:t xml:space="preserve">Most significant response gaps in 2020: </w:t>
      </w:r>
    </w:p>
    <w:p w:rsidRPr="005D24D5" w:rsidR="001770B9" w:rsidP="00EA1163" w:rsidRDefault="001770B9" w14:paraId="5043F1F1" w14:textId="3A09D1B0">
      <w:pPr>
        <w:pStyle w:val="ListParagraph"/>
        <w:numPr>
          <w:ilvl w:val="0"/>
          <w:numId w:val="35"/>
        </w:numPr>
        <w:spacing w:after="160"/>
        <w:contextualSpacing/>
        <w:jc w:val="both"/>
        <w:rPr>
          <w:b/>
          <w:sz w:val="20"/>
          <w:szCs w:val="20"/>
        </w:rPr>
      </w:pPr>
      <w:r w:rsidRPr="005D24D5">
        <w:rPr>
          <w:rFonts w:eastAsia="Roboto Condensed"/>
          <w:spacing w:val="-1"/>
          <w:sz w:val="20"/>
          <w:szCs w:val="20"/>
        </w:rPr>
        <w:t xml:space="preserve">0.6 Million children who might lose their future learning and developmental potentials because of chronic malnutrition. </w:t>
      </w:r>
    </w:p>
    <w:p w:rsidRPr="005D24D5" w:rsidR="001770B9" w:rsidP="00EA1163" w:rsidRDefault="001770B9" w14:paraId="59A59BC4" w14:textId="0A66D788">
      <w:pPr>
        <w:pStyle w:val="ListParagraph"/>
        <w:numPr>
          <w:ilvl w:val="0"/>
          <w:numId w:val="35"/>
        </w:numPr>
        <w:spacing w:after="160"/>
        <w:contextualSpacing/>
        <w:jc w:val="both"/>
        <w:rPr>
          <w:b/>
          <w:sz w:val="20"/>
          <w:szCs w:val="20"/>
        </w:rPr>
      </w:pPr>
      <w:r w:rsidRPr="005D24D5">
        <w:rPr>
          <w:rFonts w:eastAsia="Roboto Condensed"/>
          <w:spacing w:val="-1"/>
          <w:sz w:val="20"/>
          <w:szCs w:val="20"/>
        </w:rPr>
        <w:t xml:space="preserve">Over one million </w:t>
      </w:r>
      <w:proofErr w:type="gramStart"/>
      <w:r w:rsidRPr="005D24D5">
        <w:rPr>
          <w:rFonts w:eastAsia="Roboto Condensed"/>
          <w:spacing w:val="-1"/>
          <w:sz w:val="20"/>
          <w:szCs w:val="20"/>
        </w:rPr>
        <w:t>mothers  are</w:t>
      </w:r>
      <w:proofErr w:type="gramEnd"/>
      <w:r w:rsidRPr="005D24D5">
        <w:rPr>
          <w:rFonts w:eastAsia="Roboto Condensed"/>
          <w:spacing w:val="-1"/>
          <w:sz w:val="20"/>
          <w:szCs w:val="20"/>
        </w:rPr>
        <w:t xml:space="preserve"> anemic and/or malnourished. </w:t>
      </w:r>
    </w:p>
    <w:p w:rsidRPr="005D24D5" w:rsidR="001770B9" w:rsidP="00EA1163" w:rsidRDefault="001770B9" w14:paraId="415599A7" w14:textId="475EB909">
      <w:pPr>
        <w:pStyle w:val="ListParagraph"/>
        <w:numPr>
          <w:ilvl w:val="0"/>
          <w:numId w:val="35"/>
        </w:numPr>
        <w:spacing w:after="160"/>
        <w:contextualSpacing/>
        <w:jc w:val="both"/>
        <w:rPr>
          <w:b/>
          <w:sz w:val="20"/>
          <w:szCs w:val="20"/>
        </w:rPr>
      </w:pPr>
      <w:r w:rsidRPr="005D24D5">
        <w:rPr>
          <w:rFonts w:eastAsia="Roboto Condensed"/>
          <w:sz w:val="20"/>
          <w:szCs w:val="20"/>
        </w:rPr>
        <w:t xml:space="preserve">An estimated </w:t>
      </w:r>
      <w:r w:rsidRPr="005D24D5">
        <w:rPr>
          <w:rFonts w:eastAsia="Roboto Condensed"/>
          <w:spacing w:val="-1"/>
          <w:sz w:val="20"/>
          <w:szCs w:val="20"/>
        </w:rPr>
        <w:t xml:space="preserve">141,540 children aged 6-59 months face an elevated risk of morbidity and mortality </w:t>
      </w:r>
      <w:r w:rsidRPr="005D24D5">
        <w:rPr>
          <w:rFonts w:eastAsia="Roboto Condensed"/>
          <w:sz w:val="20"/>
          <w:szCs w:val="20"/>
        </w:rPr>
        <w:t xml:space="preserve">attributed to acute malnutrition, out of which 37,863 children are under the direct risk of death because of severe acute malnutrition and additional 103,677 moderately malnourished children are at risk of co-morbidities and development of severe acute malnutrition if they are not treated appropriately. </w:t>
      </w:r>
    </w:p>
    <w:p w:rsidR="00E45764" w:rsidP="00EA1163" w:rsidRDefault="00E45764" w14:paraId="4AEFC091" w14:textId="77777777">
      <w:pPr>
        <w:pStyle w:val="ListParagraph"/>
        <w:spacing w:after="160"/>
        <w:ind w:left="540"/>
        <w:contextualSpacing/>
        <w:rPr>
          <w:rFonts w:cstheme="minorHAnsi"/>
          <w:b/>
          <w:sz w:val="20"/>
          <w:szCs w:val="20"/>
        </w:rPr>
      </w:pPr>
    </w:p>
    <w:p w:rsidRPr="005D24D5" w:rsidR="001770B9" w:rsidP="00EA1163" w:rsidRDefault="001770B9" w14:paraId="0BF46148" w14:textId="21DAF4AA">
      <w:pPr>
        <w:pStyle w:val="ListParagraph"/>
        <w:numPr>
          <w:ilvl w:val="0"/>
          <w:numId w:val="36"/>
        </w:numPr>
        <w:spacing w:after="160"/>
        <w:ind w:left="540"/>
        <w:contextualSpacing/>
        <w:rPr>
          <w:rFonts w:cstheme="minorHAnsi"/>
          <w:b/>
          <w:sz w:val="20"/>
          <w:szCs w:val="20"/>
        </w:rPr>
      </w:pPr>
      <w:r w:rsidRPr="005D24D5">
        <w:rPr>
          <w:rFonts w:cstheme="minorHAnsi"/>
          <w:b/>
          <w:sz w:val="20"/>
          <w:szCs w:val="20"/>
        </w:rPr>
        <w:t xml:space="preserve">Critical sector priorities in 2021:   </w:t>
      </w:r>
    </w:p>
    <w:p w:rsidRPr="005D24D5" w:rsidR="001770B9" w:rsidP="00EA1163" w:rsidRDefault="001770B9" w14:paraId="462E4D83" w14:textId="6B391506">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Strengthen adherence to operational guidance in the context of COVID-19 to mitigate risk of infection including roll out of the family MUAC approach to increase early detection of acute malnutrition cases and referrals for treatment.</w:t>
      </w:r>
    </w:p>
    <w:p w:rsidRPr="005D24D5" w:rsidR="001770B9" w:rsidP="00EA1163" w:rsidRDefault="001770B9" w14:paraId="796070D4" w14:textId="07E88271">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Quality improvement in the treatment of acute malnutrition through mobile and fixed delivery modalities.</w:t>
      </w:r>
    </w:p>
    <w:p w:rsidRPr="005D24D5" w:rsidR="001770B9" w:rsidP="00EA1163" w:rsidRDefault="001770B9" w14:paraId="03D577D8" w14:textId="7DE0D4E1">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Prevention of acute and chronic malnutrition through Blanket Supplementary Feeding and Cash and voucher assistance targeting children aged 6 to 59 months and pregnant and lactating mothers. This is provided for only newly displaced IDPs.</w:t>
      </w:r>
    </w:p>
    <w:p w:rsidRPr="005D24D5" w:rsidR="001770B9" w:rsidP="00EA1163" w:rsidRDefault="001770B9" w14:paraId="2F6352A4" w14:textId="77777777">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Prevention of micronutrient deficiencies using different modalities: supplementation through distribution of micronutrient powder and tablets targeting children aged 6 to 59 months and pregnant and lactating women (PLW) in collaboration with the Health sector; diet diversification awareness, and fortification.</w:t>
      </w:r>
    </w:p>
    <w:p w:rsidRPr="005D24D5" w:rsidR="001770B9" w:rsidP="00EA1163" w:rsidRDefault="001770B9" w14:paraId="106627C3" w14:textId="77777777">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Protect, promote and support recommended infant and young child feeding practices in emergencies (IYCF-E) including breastfeeding/complementary feeding, mainly via counselling or education and use of additional platforms such as mobile text messages, radio, TV and social media.</w:t>
      </w:r>
    </w:p>
    <w:p w:rsidRPr="005D24D5" w:rsidR="001770B9" w:rsidP="00EA1163" w:rsidRDefault="001770B9" w14:paraId="3A101093" w14:textId="77777777">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Nutrition situation assessment and monitoring through SMART surveys, surveillance and community screening, and timely analysis and dissemination.</w:t>
      </w:r>
    </w:p>
    <w:p w:rsidRPr="005D24D5" w:rsidR="001770B9" w:rsidP="00EA1163" w:rsidRDefault="001770B9" w14:paraId="15589BBD" w14:textId="77777777">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Prevention of chronic malnutrition and maternal malnutrition through adequate focus on the first 1000 days of the child’s life including the pregnancy period.</w:t>
      </w:r>
    </w:p>
    <w:p w:rsidRPr="005D24D5" w:rsidR="001770B9" w:rsidP="00EA1163" w:rsidRDefault="001770B9" w14:paraId="035B6E51" w14:textId="77777777">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 xml:space="preserve">Capacity building of partners on key nutrition interventions (Community-based management of acute malnutrition, promotion of appropriate infant and young child feeding and caring practices, Age appropriate micronutrient </w:t>
      </w:r>
      <w:r w:rsidRPr="005D24D5">
        <w:rPr>
          <w:rFonts w:eastAsia="Roboto Condensed"/>
          <w:spacing w:val="-1"/>
          <w:sz w:val="20"/>
          <w:szCs w:val="20"/>
        </w:rPr>
        <w:t>Supplementation, Rapid Nutrition Assessments/SMART, Cash and/or voucher assistance to improve nutrition outcomes, home fortification and strengthening Nutrition Information Management).</w:t>
      </w:r>
    </w:p>
    <w:p w:rsidRPr="005D24D5" w:rsidR="001770B9" w:rsidP="00EA1163" w:rsidRDefault="001770B9" w14:paraId="65A3C5EE" w14:textId="77777777">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Strengthen resilience by focusing on building nutrition information systems to improve evidence-based programming (nutrition surveillance at both facility and community levels).</w:t>
      </w:r>
    </w:p>
    <w:p w:rsidRPr="005D24D5" w:rsidR="001770B9" w:rsidP="00EA1163" w:rsidRDefault="001770B9" w14:paraId="56ED379E" w14:textId="77777777">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Ensure adherence to the Whole-of-Syria standard operating procedures for breastmilk substitute (BMS) guidelines and address the issue of non-breastfed infants in the appropriate and recommended way.</w:t>
      </w:r>
    </w:p>
    <w:p w:rsidRPr="005D24D5" w:rsidR="001770B9" w:rsidP="00EA1163" w:rsidRDefault="001770B9" w14:paraId="52714AF8" w14:textId="3EB80D8E">
      <w:pPr>
        <w:pStyle w:val="ListParagraph"/>
        <w:numPr>
          <w:ilvl w:val="0"/>
          <w:numId w:val="35"/>
        </w:numPr>
        <w:spacing w:after="160"/>
        <w:contextualSpacing/>
        <w:jc w:val="both"/>
        <w:rPr>
          <w:rFonts w:cstheme="minorHAnsi"/>
          <w:b/>
          <w:sz w:val="20"/>
          <w:szCs w:val="20"/>
        </w:rPr>
      </w:pPr>
      <w:r w:rsidRPr="005D24D5">
        <w:rPr>
          <w:rFonts w:eastAsia="Roboto Condensed"/>
          <w:spacing w:val="-1"/>
          <w:sz w:val="20"/>
          <w:szCs w:val="20"/>
        </w:rPr>
        <w:t>Strengthen collaboration between Nutrition, Health, WASH, Protection, and FSL clusters on implementing an integrated response that addresses the immediate and underlying causes of acute and chronic malnutrition.</w:t>
      </w:r>
    </w:p>
    <w:p w:rsidR="00E45764" w:rsidP="00EA1163" w:rsidRDefault="00E45764" w14:paraId="74FCD344" w14:textId="77777777">
      <w:pPr>
        <w:pStyle w:val="ListParagraph"/>
        <w:spacing w:after="160"/>
        <w:ind w:left="630"/>
        <w:contextualSpacing/>
        <w:jc w:val="both"/>
        <w:rPr>
          <w:b/>
          <w:bCs/>
          <w:sz w:val="20"/>
          <w:szCs w:val="20"/>
        </w:rPr>
      </w:pPr>
    </w:p>
    <w:p w:rsidRPr="005374CC" w:rsidR="001770B9" w:rsidP="00EA1163" w:rsidRDefault="001770B9" w14:paraId="63A71C19" w14:textId="362D3A57">
      <w:pPr>
        <w:pStyle w:val="ListParagraph"/>
        <w:numPr>
          <w:ilvl w:val="0"/>
          <w:numId w:val="36"/>
        </w:numPr>
        <w:spacing w:after="160"/>
        <w:contextualSpacing/>
        <w:jc w:val="both"/>
        <w:rPr>
          <w:b/>
          <w:bCs/>
          <w:sz w:val="20"/>
          <w:szCs w:val="20"/>
        </w:rPr>
      </w:pPr>
      <w:r w:rsidRPr="005374CC">
        <w:rPr>
          <w:b/>
          <w:bCs/>
          <w:sz w:val="20"/>
          <w:szCs w:val="20"/>
        </w:rPr>
        <w:t xml:space="preserve">Key messages to donors as at June 2021 (which the HCs could help amplify): </w:t>
      </w:r>
    </w:p>
    <w:p w:rsidRPr="005D24D5" w:rsidR="001770B9" w:rsidP="00EA1163" w:rsidRDefault="001770B9" w14:paraId="6A1E1297" w14:textId="2172CDF3">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 xml:space="preserve">Pockets of acute malnutrition among children 6-59 months of age continue to be apparent throughout Syria, demonstrating the long-term damage caused by protracted crises. Without </w:t>
      </w:r>
      <w:proofErr w:type="spellStart"/>
      <w:r w:rsidRPr="005D24D5">
        <w:rPr>
          <w:rFonts w:eastAsia="Roboto Condensed"/>
          <w:spacing w:val="-1"/>
          <w:sz w:val="20"/>
          <w:szCs w:val="20"/>
        </w:rPr>
        <w:t>approporiate</w:t>
      </w:r>
      <w:proofErr w:type="spellEnd"/>
      <w:r w:rsidRPr="005D24D5">
        <w:rPr>
          <w:rFonts w:eastAsia="Roboto Condensed"/>
          <w:spacing w:val="-1"/>
          <w:sz w:val="20"/>
          <w:szCs w:val="20"/>
        </w:rPr>
        <w:t xml:space="preserve"> treatment 30-50% of those children are at potential danger of death because of severe wasting.</w:t>
      </w:r>
    </w:p>
    <w:p w:rsidRPr="005D24D5" w:rsidR="001770B9" w:rsidP="00EA1163" w:rsidRDefault="001770B9" w14:paraId="1EBC2BF6" w14:textId="4C53B21A">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Acute malnutrition among pregnant and lactating women continues to increase during 2021. Pregnant and lactating mothers are in urgent need of nutrition services and should be prioritized for all basic services.</w:t>
      </w:r>
    </w:p>
    <w:p w:rsidRPr="005D24D5" w:rsidR="001770B9" w:rsidP="00EA1163" w:rsidRDefault="001770B9" w14:paraId="79DA6556" w14:textId="139AF35D">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 xml:space="preserve">Chronic malnutrition (Stunting) among children 6-59 months is well documented as </w:t>
      </w:r>
      <w:proofErr w:type="gramStart"/>
      <w:r w:rsidRPr="005D24D5">
        <w:rPr>
          <w:rFonts w:eastAsia="Roboto Condensed"/>
          <w:spacing w:val="-1"/>
          <w:sz w:val="20"/>
          <w:szCs w:val="20"/>
        </w:rPr>
        <w:t>a  key</w:t>
      </w:r>
      <w:proofErr w:type="gramEnd"/>
      <w:r w:rsidRPr="005D24D5">
        <w:rPr>
          <w:rFonts w:eastAsia="Roboto Condensed"/>
          <w:spacing w:val="-1"/>
          <w:sz w:val="20"/>
          <w:szCs w:val="20"/>
        </w:rPr>
        <w:t xml:space="preserve"> nutrition problem in Syria with nearly one child out of eight children losing learning and developmental opportunity due to chronic malnutrition.</w:t>
      </w:r>
    </w:p>
    <w:p w:rsidRPr="005D24D5" w:rsidR="001770B9" w:rsidP="00EA1163" w:rsidRDefault="001770B9" w14:paraId="0E309760" w14:textId="01455559">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Negative nutrition outcomes among Syrian children and mothers are also caused by food insecurity, negative coping practices such as child and early marriages both of which carry significant maternal and child morbidity and mortality risks.</w:t>
      </w:r>
    </w:p>
    <w:p w:rsidRPr="005D24D5" w:rsidR="001770B9" w:rsidP="00EA1163" w:rsidRDefault="001770B9" w14:paraId="26F36E91" w14:textId="0DA6EAD8">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 xml:space="preserve">A joint inter-sectoral effort is required to have a positive impact on the nutrition status of the population. Limited access to safe water, inadequate health services, poor sanitation, and food insecurity especially among displaced population, returnees, and newly accessible areas reflect some of the underlying causes of malnutrition and need to be addressed holistically. </w:t>
      </w:r>
    </w:p>
    <w:p w:rsidRPr="005D24D5" w:rsidR="001770B9" w:rsidP="00EA1163" w:rsidRDefault="001770B9" w14:paraId="744B264D" w14:textId="6168A7F4">
      <w:pPr>
        <w:pStyle w:val="ListParagraph"/>
        <w:numPr>
          <w:ilvl w:val="0"/>
          <w:numId w:val="35"/>
        </w:numPr>
        <w:spacing w:after="160"/>
        <w:contextualSpacing/>
        <w:jc w:val="both"/>
        <w:rPr>
          <w:rFonts w:eastAsia="Roboto Condensed"/>
          <w:spacing w:val="-1"/>
          <w:sz w:val="20"/>
          <w:szCs w:val="20"/>
        </w:rPr>
      </w:pPr>
      <w:r w:rsidRPr="005D24D5">
        <w:rPr>
          <w:rFonts w:eastAsia="Roboto Condensed"/>
          <w:spacing w:val="-1"/>
          <w:sz w:val="20"/>
          <w:szCs w:val="20"/>
        </w:rPr>
        <w:t xml:space="preserve">At the time of heightened insecurity and difficult access to basic services, children with disabilities suffers the most from nutrition vulnerabilities as well as timely access to nutrition services </w:t>
      </w:r>
    </w:p>
    <w:p w:rsidR="00C016CD" w:rsidP="00C016CD" w:rsidRDefault="00C016CD" w14:paraId="459DCECE" w14:textId="77777777">
      <w:pPr>
        <w:spacing w:line="240" w:lineRule="auto"/>
        <w:rPr>
          <w:rFonts w:cstheme="minorHAnsi"/>
          <w:b/>
          <w:bCs/>
          <w:sz w:val="20"/>
          <w:szCs w:val="20"/>
        </w:rPr>
      </w:pPr>
    </w:p>
    <w:p w:rsidRPr="00484EE0" w:rsidR="001770B9" w:rsidP="00484EE0" w:rsidRDefault="001770B9" w14:paraId="7320CC06" w14:textId="371CBAC3">
      <w:pPr>
        <w:spacing w:line="240" w:lineRule="auto"/>
        <w:rPr>
          <w:rFonts w:cstheme="minorHAnsi"/>
          <w:b/>
          <w:sz w:val="20"/>
          <w:szCs w:val="20"/>
        </w:rPr>
      </w:pPr>
      <w:r w:rsidRPr="00C016CD">
        <w:rPr>
          <w:rFonts w:cstheme="minorHAnsi"/>
          <w:b/>
          <w:sz w:val="20"/>
          <w:szCs w:val="20"/>
        </w:rPr>
        <w:t xml:space="preserve">Top appealing organizations in the sector: </w:t>
      </w:r>
    </w:p>
    <w:tbl>
      <w:tblPr>
        <w:tblW w:w="10253" w:type="dxa"/>
        <w:tblLook w:val="04A0" w:firstRow="1" w:lastRow="0" w:firstColumn="1" w:lastColumn="0" w:noHBand="0" w:noVBand="1"/>
      </w:tblPr>
      <w:tblGrid>
        <w:gridCol w:w="2438"/>
        <w:gridCol w:w="1231"/>
        <w:gridCol w:w="1085"/>
        <w:gridCol w:w="1231"/>
        <w:gridCol w:w="888"/>
        <w:gridCol w:w="3380"/>
      </w:tblGrid>
      <w:tr w:rsidRPr="00A909E5" w:rsidR="00A909E5" w:rsidTr="00A909E5" w14:paraId="5EC0C640" w14:textId="77777777">
        <w:trPr>
          <w:trHeight w:val="349"/>
        </w:trPr>
        <w:tc>
          <w:tcPr>
            <w:tcW w:w="2596" w:type="dxa"/>
            <w:tcBorders>
              <w:top w:val="single" w:color="4472C4" w:sz="4" w:space="0"/>
              <w:left w:val="single" w:color="4472C4" w:sz="4" w:space="0"/>
              <w:bottom w:val="nil"/>
              <w:right w:val="nil"/>
            </w:tcBorders>
            <w:shd w:val="clear" w:color="4472C4" w:fill="4472C4"/>
            <w:vAlign w:val="center"/>
            <w:hideMark/>
          </w:tcPr>
          <w:p w:rsidRPr="00A909E5" w:rsidR="00A909E5" w:rsidP="00A909E5" w:rsidRDefault="00A909E5" w14:paraId="7A9AF724" w14:textId="77777777">
            <w:pPr>
              <w:spacing w:after="0" w:line="240" w:lineRule="auto"/>
              <w:rPr>
                <w:rFonts w:ascii="Calibri" w:hAnsi="Calibri" w:eastAsia="Times New Roman" w:cs="Times New Roman"/>
                <w:b/>
                <w:bCs/>
                <w:color w:val="FFFFFF"/>
                <w:sz w:val="18"/>
                <w:szCs w:val="18"/>
                <w:lang w:eastAsia="zh-CN"/>
              </w:rPr>
            </w:pPr>
            <w:r w:rsidRPr="00A909E5">
              <w:rPr>
                <w:rFonts w:ascii="Calibri" w:hAnsi="Calibri" w:eastAsia="Times New Roman" w:cs="Times New Roman"/>
                <w:b/>
                <w:bCs/>
                <w:color w:val="FFFFFF"/>
                <w:sz w:val="18"/>
                <w:szCs w:val="18"/>
                <w:lang w:eastAsia="zh-CN"/>
              </w:rPr>
              <w:t>Organizations</w:t>
            </w:r>
          </w:p>
        </w:tc>
        <w:tc>
          <w:tcPr>
            <w:tcW w:w="1130" w:type="dxa"/>
            <w:tcBorders>
              <w:top w:val="single" w:color="4472C4" w:sz="4" w:space="0"/>
              <w:left w:val="nil"/>
              <w:bottom w:val="nil"/>
              <w:right w:val="nil"/>
            </w:tcBorders>
            <w:shd w:val="clear" w:color="4472C4" w:fill="4472C4"/>
            <w:vAlign w:val="bottom"/>
            <w:hideMark/>
          </w:tcPr>
          <w:p w:rsidRPr="00A909E5" w:rsidR="00A909E5" w:rsidP="00A909E5" w:rsidRDefault="00A909E5" w14:paraId="26082467" w14:textId="77777777">
            <w:pPr>
              <w:spacing w:after="0" w:line="240" w:lineRule="auto"/>
              <w:jc w:val="right"/>
              <w:rPr>
                <w:rFonts w:ascii="Calibri" w:hAnsi="Calibri" w:eastAsia="Times New Roman" w:cs="Times New Roman"/>
                <w:b/>
                <w:bCs/>
                <w:color w:val="FFFFFF"/>
                <w:sz w:val="18"/>
                <w:szCs w:val="18"/>
                <w:lang w:eastAsia="zh-CN"/>
              </w:rPr>
            </w:pPr>
            <w:r w:rsidRPr="00A909E5">
              <w:rPr>
                <w:rFonts w:ascii="Calibri" w:hAnsi="Calibri" w:eastAsia="Times New Roman" w:cs="Times New Roman"/>
                <w:b/>
                <w:bCs/>
                <w:color w:val="FFFFFF"/>
                <w:sz w:val="18"/>
                <w:szCs w:val="18"/>
                <w:lang w:eastAsia="zh-CN"/>
              </w:rPr>
              <w:t xml:space="preserve"> 2020 requirements US$ </w:t>
            </w:r>
          </w:p>
        </w:tc>
        <w:tc>
          <w:tcPr>
            <w:tcW w:w="1066" w:type="dxa"/>
            <w:tcBorders>
              <w:top w:val="single" w:color="4472C4" w:sz="4" w:space="0"/>
              <w:left w:val="nil"/>
              <w:bottom w:val="nil"/>
              <w:right w:val="nil"/>
            </w:tcBorders>
            <w:shd w:val="clear" w:color="4472C4" w:fill="4472C4"/>
            <w:vAlign w:val="bottom"/>
            <w:hideMark/>
          </w:tcPr>
          <w:p w:rsidRPr="00A909E5" w:rsidR="00A909E5" w:rsidP="00A909E5" w:rsidRDefault="00A909E5" w14:paraId="216954DE" w14:textId="77777777">
            <w:pPr>
              <w:spacing w:after="0" w:line="240" w:lineRule="auto"/>
              <w:jc w:val="right"/>
              <w:rPr>
                <w:rFonts w:ascii="Calibri" w:hAnsi="Calibri" w:eastAsia="Times New Roman" w:cs="Times New Roman"/>
                <w:b/>
                <w:bCs/>
                <w:color w:val="FFFFFF"/>
                <w:sz w:val="18"/>
                <w:szCs w:val="18"/>
                <w:lang w:eastAsia="zh-CN"/>
              </w:rPr>
            </w:pPr>
            <w:r w:rsidRPr="00A909E5">
              <w:rPr>
                <w:rFonts w:ascii="Calibri" w:hAnsi="Calibri" w:eastAsia="Times New Roman" w:cs="Times New Roman"/>
                <w:b/>
                <w:bCs/>
                <w:color w:val="FFFFFF"/>
                <w:sz w:val="18"/>
                <w:szCs w:val="18"/>
                <w:lang w:eastAsia="zh-CN"/>
              </w:rPr>
              <w:t xml:space="preserve">2020 </w:t>
            </w:r>
            <w:r w:rsidRPr="00A909E5">
              <w:rPr>
                <w:rFonts w:ascii="Calibri" w:hAnsi="Calibri" w:eastAsia="Times New Roman" w:cs="Times New Roman"/>
                <w:b/>
                <w:bCs/>
                <w:color w:val="FFFFFF"/>
                <w:sz w:val="18"/>
                <w:szCs w:val="18"/>
                <w:lang w:eastAsia="zh-CN"/>
              </w:rPr>
              <w:br/>
            </w:r>
            <w:r w:rsidRPr="00A909E5">
              <w:rPr>
                <w:rFonts w:ascii="Calibri" w:hAnsi="Calibri" w:eastAsia="Times New Roman" w:cs="Times New Roman"/>
                <w:b/>
                <w:bCs/>
                <w:color w:val="FFFFFF"/>
                <w:sz w:val="18"/>
                <w:szCs w:val="18"/>
                <w:lang w:eastAsia="zh-CN"/>
              </w:rPr>
              <w:t>Coverage %</w:t>
            </w:r>
          </w:p>
        </w:tc>
        <w:tc>
          <w:tcPr>
            <w:tcW w:w="1132" w:type="dxa"/>
            <w:tcBorders>
              <w:top w:val="single" w:color="4472C4" w:sz="4" w:space="0"/>
              <w:left w:val="nil"/>
              <w:bottom w:val="nil"/>
              <w:right w:val="nil"/>
            </w:tcBorders>
            <w:shd w:val="clear" w:color="4472C4" w:fill="4472C4"/>
            <w:vAlign w:val="bottom"/>
            <w:hideMark/>
          </w:tcPr>
          <w:p w:rsidRPr="00A909E5" w:rsidR="00A909E5" w:rsidP="00A909E5" w:rsidRDefault="00A909E5" w14:paraId="60E98D22" w14:textId="77777777">
            <w:pPr>
              <w:spacing w:after="0" w:line="240" w:lineRule="auto"/>
              <w:jc w:val="right"/>
              <w:rPr>
                <w:rFonts w:ascii="Calibri" w:hAnsi="Calibri" w:eastAsia="Times New Roman" w:cs="Times New Roman"/>
                <w:b/>
                <w:bCs/>
                <w:color w:val="FFFFFF"/>
                <w:sz w:val="18"/>
                <w:szCs w:val="18"/>
                <w:lang w:eastAsia="zh-CN"/>
              </w:rPr>
            </w:pPr>
            <w:r w:rsidRPr="00A909E5">
              <w:rPr>
                <w:rFonts w:ascii="Calibri" w:hAnsi="Calibri" w:eastAsia="Times New Roman" w:cs="Times New Roman"/>
                <w:b/>
                <w:bCs/>
                <w:color w:val="FFFFFF"/>
                <w:sz w:val="18"/>
                <w:szCs w:val="18"/>
                <w:lang w:eastAsia="zh-CN"/>
              </w:rPr>
              <w:t xml:space="preserve"> 2021 requirements US$ </w:t>
            </w:r>
          </w:p>
        </w:tc>
        <w:tc>
          <w:tcPr>
            <w:tcW w:w="833" w:type="dxa"/>
            <w:tcBorders>
              <w:top w:val="single" w:color="4472C4" w:sz="4" w:space="0"/>
              <w:left w:val="nil"/>
              <w:bottom w:val="nil"/>
              <w:right w:val="nil"/>
            </w:tcBorders>
            <w:shd w:val="clear" w:color="4472C4" w:fill="4472C4"/>
            <w:vAlign w:val="bottom"/>
            <w:hideMark/>
          </w:tcPr>
          <w:p w:rsidRPr="00A909E5" w:rsidR="00A909E5" w:rsidP="00A909E5" w:rsidRDefault="00A909E5" w14:paraId="7AD82BF0" w14:textId="77777777">
            <w:pPr>
              <w:spacing w:after="0" w:line="240" w:lineRule="auto"/>
              <w:jc w:val="right"/>
              <w:rPr>
                <w:rFonts w:ascii="Calibri" w:hAnsi="Calibri" w:eastAsia="Times New Roman" w:cs="Times New Roman"/>
                <w:b/>
                <w:bCs/>
                <w:color w:val="FFFFFF"/>
                <w:sz w:val="18"/>
                <w:szCs w:val="18"/>
                <w:lang w:eastAsia="zh-CN"/>
              </w:rPr>
            </w:pPr>
            <w:r w:rsidRPr="00A909E5">
              <w:rPr>
                <w:rFonts w:ascii="Calibri" w:hAnsi="Calibri" w:eastAsia="Times New Roman" w:cs="Times New Roman"/>
                <w:b/>
                <w:bCs/>
                <w:color w:val="FFFFFF"/>
                <w:sz w:val="18"/>
                <w:szCs w:val="18"/>
                <w:lang w:eastAsia="zh-CN"/>
              </w:rPr>
              <w:t>% variation to 2020</w:t>
            </w:r>
          </w:p>
        </w:tc>
        <w:tc>
          <w:tcPr>
            <w:tcW w:w="3496" w:type="dxa"/>
            <w:tcBorders>
              <w:top w:val="single" w:color="4472C4" w:sz="4" w:space="0"/>
              <w:left w:val="nil"/>
              <w:bottom w:val="nil"/>
              <w:right w:val="single" w:color="4472C4" w:sz="4" w:space="0"/>
            </w:tcBorders>
            <w:shd w:val="clear" w:color="4472C4" w:fill="4472C4"/>
            <w:vAlign w:val="bottom"/>
            <w:hideMark/>
          </w:tcPr>
          <w:p w:rsidRPr="00A909E5" w:rsidR="00A909E5" w:rsidP="00A909E5" w:rsidRDefault="00A909E5" w14:paraId="521A872E" w14:textId="77777777">
            <w:pPr>
              <w:spacing w:after="0" w:line="240" w:lineRule="auto"/>
              <w:rPr>
                <w:rFonts w:ascii="Calibri" w:hAnsi="Calibri" w:eastAsia="Times New Roman" w:cs="Times New Roman"/>
                <w:b/>
                <w:bCs/>
                <w:color w:val="FFFFFF"/>
                <w:sz w:val="18"/>
                <w:szCs w:val="18"/>
                <w:lang w:eastAsia="zh-CN"/>
              </w:rPr>
            </w:pPr>
            <w:r w:rsidRPr="00A909E5">
              <w:rPr>
                <w:rFonts w:ascii="Calibri" w:hAnsi="Calibri" w:eastAsia="Times New Roman" w:cs="Times New Roman"/>
                <w:b/>
                <w:bCs/>
                <w:color w:val="FFFFFF"/>
                <w:sz w:val="18"/>
                <w:szCs w:val="18"/>
                <w:lang w:eastAsia="zh-CN"/>
              </w:rPr>
              <w:t xml:space="preserve"> Geographic coverage</w:t>
            </w:r>
            <w:r w:rsidRPr="00A909E5">
              <w:rPr>
                <w:rFonts w:ascii="Calibri" w:hAnsi="Calibri" w:eastAsia="Times New Roman" w:cs="Times New Roman"/>
                <w:b/>
                <w:bCs/>
                <w:color w:val="FFFFFF"/>
                <w:sz w:val="18"/>
                <w:szCs w:val="18"/>
                <w:lang w:eastAsia="zh-CN"/>
              </w:rPr>
              <w:br/>
            </w:r>
            <w:r w:rsidRPr="00A909E5">
              <w:rPr>
                <w:rFonts w:ascii="Calibri" w:hAnsi="Calibri" w:eastAsia="Times New Roman" w:cs="Times New Roman"/>
                <w:b/>
                <w:bCs/>
                <w:color w:val="FFFFFF"/>
                <w:sz w:val="18"/>
                <w:szCs w:val="18"/>
                <w:lang w:eastAsia="zh-CN"/>
              </w:rPr>
              <w:t xml:space="preserve">(main governorates) </w:t>
            </w:r>
          </w:p>
        </w:tc>
      </w:tr>
      <w:tr w:rsidRPr="00A909E5" w:rsidR="00A909E5" w:rsidTr="00A909E5" w14:paraId="0107EA41" w14:textId="77777777">
        <w:trPr>
          <w:trHeight w:val="204"/>
        </w:trPr>
        <w:tc>
          <w:tcPr>
            <w:tcW w:w="2596" w:type="dxa"/>
            <w:tcBorders>
              <w:top w:val="single" w:color="4472C4" w:sz="4" w:space="0"/>
              <w:left w:val="single" w:color="4472C4" w:sz="4" w:space="0"/>
              <w:bottom w:val="nil"/>
              <w:right w:val="nil"/>
            </w:tcBorders>
            <w:shd w:val="clear" w:color="auto" w:fill="auto"/>
            <w:vAlign w:val="center"/>
            <w:hideMark/>
          </w:tcPr>
          <w:p w:rsidRPr="00A909E5" w:rsidR="00A909E5" w:rsidP="00A909E5" w:rsidRDefault="00A909E5" w14:paraId="24827D96"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World Food </w:t>
            </w:r>
            <w:proofErr w:type="spellStart"/>
            <w:r w:rsidRPr="00A909E5">
              <w:rPr>
                <w:rFonts w:ascii="Calibri" w:hAnsi="Calibri" w:eastAsia="Times New Roman" w:cs="Times New Roman"/>
                <w:color w:val="000000"/>
                <w:sz w:val="18"/>
                <w:szCs w:val="18"/>
                <w:lang w:eastAsia="zh-CN"/>
              </w:rPr>
              <w:t>Programme</w:t>
            </w:r>
            <w:proofErr w:type="spellEnd"/>
          </w:p>
        </w:tc>
        <w:tc>
          <w:tcPr>
            <w:tcW w:w="1130" w:type="dxa"/>
            <w:tcBorders>
              <w:top w:val="single" w:color="4472C4" w:sz="4" w:space="0"/>
              <w:left w:val="nil"/>
              <w:bottom w:val="nil"/>
              <w:right w:val="nil"/>
            </w:tcBorders>
            <w:shd w:val="clear" w:color="auto" w:fill="auto"/>
            <w:noWrap/>
            <w:vAlign w:val="bottom"/>
            <w:hideMark/>
          </w:tcPr>
          <w:p w:rsidRPr="00A909E5" w:rsidR="00A909E5" w:rsidP="00A909E5" w:rsidRDefault="00A909E5" w14:paraId="3D18B264"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                39,118,593 </w:t>
            </w:r>
          </w:p>
        </w:tc>
        <w:tc>
          <w:tcPr>
            <w:tcW w:w="1066" w:type="dxa"/>
            <w:tcBorders>
              <w:top w:val="single" w:color="4472C4" w:sz="4" w:space="0"/>
              <w:left w:val="nil"/>
              <w:bottom w:val="nil"/>
              <w:right w:val="nil"/>
            </w:tcBorders>
            <w:shd w:val="clear" w:color="000000" w:fill="C6E0B4"/>
            <w:noWrap/>
            <w:vAlign w:val="bottom"/>
            <w:hideMark/>
          </w:tcPr>
          <w:p w:rsidRPr="00A909E5" w:rsidR="00A909E5" w:rsidP="00A909E5" w:rsidRDefault="00A909E5" w14:paraId="77808A6E"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64%</w:t>
            </w:r>
          </w:p>
        </w:tc>
        <w:tc>
          <w:tcPr>
            <w:tcW w:w="1132" w:type="dxa"/>
            <w:tcBorders>
              <w:top w:val="single" w:color="4472C4" w:sz="4" w:space="0"/>
              <w:left w:val="nil"/>
              <w:bottom w:val="nil"/>
              <w:right w:val="nil"/>
            </w:tcBorders>
            <w:shd w:val="clear" w:color="auto" w:fill="auto"/>
            <w:noWrap/>
            <w:vAlign w:val="bottom"/>
            <w:hideMark/>
          </w:tcPr>
          <w:p w:rsidRPr="00A909E5" w:rsidR="00A909E5" w:rsidP="00A909E5" w:rsidRDefault="00A909E5" w14:paraId="194B9194" w14:textId="77777777">
            <w:pPr>
              <w:spacing w:after="0" w:line="240" w:lineRule="auto"/>
              <w:jc w:val="right"/>
              <w:rPr>
                <w:rFonts w:ascii="Calibri" w:hAnsi="Calibri" w:eastAsia="Times New Roman" w:cs="Times New Roman"/>
                <w:b/>
                <w:bCs/>
                <w:color w:val="000000"/>
                <w:sz w:val="18"/>
                <w:szCs w:val="18"/>
                <w:lang w:eastAsia="zh-CN"/>
              </w:rPr>
            </w:pPr>
            <w:r w:rsidRPr="00A909E5">
              <w:rPr>
                <w:rFonts w:ascii="Calibri" w:hAnsi="Calibri" w:eastAsia="Times New Roman" w:cs="Times New Roman"/>
                <w:b/>
                <w:bCs/>
                <w:color w:val="000000"/>
                <w:sz w:val="18"/>
                <w:szCs w:val="18"/>
                <w:lang w:eastAsia="zh-CN"/>
              </w:rPr>
              <w:t xml:space="preserve">              </w:t>
            </w:r>
            <w:r w:rsidRPr="00A909E5">
              <w:rPr>
                <w:rFonts w:ascii="Calibri" w:hAnsi="Calibri" w:eastAsia="Times New Roman" w:cs="Times New Roman"/>
                <w:b/>
                <w:color w:val="000000"/>
                <w:sz w:val="18"/>
                <w:szCs w:val="18"/>
                <w:lang w:eastAsia="zh-CN"/>
              </w:rPr>
              <w:t>127,428,089</w:t>
            </w:r>
            <w:r w:rsidRPr="00A909E5">
              <w:rPr>
                <w:rFonts w:ascii="Calibri" w:hAnsi="Calibri" w:eastAsia="Times New Roman" w:cs="Times New Roman"/>
                <w:b/>
                <w:bCs/>
                <w:color w:val="000000"/>
                <w:sz w:val="18"/>
                <w:szCs w:val="18"/>
                <w:lang w:eastAsia="zh-CN"/>
              </w:rPr>
              <w:t xml:space="preserve"> </w:t>
            </w:r>
          </w:p>
        </w:tc>
        <w:tc>
          <w:tcPr>
            <w:tcW w:w="833"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031C98BC"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226%</w:t>
            </w:r>
          </w:p>
        </w:tc>
        <w:tc>
          <w:tcPr>
            <w:tcW w:w="3496" w:type="dxa"/>
            <w:tcBorders>
              <w:top w:val="single" w:color="4472C4" w:sz="4" w:space="0"/>
              <w:left w:val="nil"/>
              <w:bottom w:val="nil"/>
              <w:right w:val="single" w:color="4472C4" w:sz="4" w:space="0"/>
            </w:tcBorders>
            <w:shd w:val="clear" w:color="auto" w:fill="auto"/>
            <w:vAlign w:val="bottom"/>
            <w:hideMark/>
          </w:tcPr>
          <w:p w:rsidRPr="00A909E5" w:rsidR="00A909E5" w:rsidP="00A909E5" w:rsidRDefault="00A909E5" w14:paraId="7B1C2016"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All 14 governorates</w:t>
            </w:r>
          </w:p>
        </w:tc>
      </w:tr>
      <w:tr w:rsidRPr="00A909E5" w:rsidR="00A909E5" w:rsidTr="00A909E5" w14:paraId="54109956" w14:textId="77777777">
        <w:trPr>
          <w:trHeight w:val="204"/>
        </w:trPr>
        <w:tc>
          <w:tcPr>
            <w:tcW w:w="2596" w:type="dxa"/>
            <w:tcBorders>
              <w:top w:val="single" w:color="4472C4" w:sz="4" w:space="0"/>
              <w:left w:val="single" w:color="4472C4" w:sz="4" w:space="0"/>
              <w:bottom w:val="nil"/>
              <w:right w:val="nil"/>
            </w:tcBorders>
            <w:shd w:val="clear" w:color="auto" w:fill="auto"/>
            <w:vAlign w:val="center"/>
            <w:hideMark/>
          </w:tcPr>
          <w:p w:rsidRPr="00A909E5" w:rsidR="00A909E5" w:rsidP="00A909E5" w:rsidRDefault="00A909E5" w14:paraId="27B26634"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United Nations Children's Fund</w:t>
            </w:r>
          </w:p>
        </w:tc>
        <w:tc>
          <w:tcPr>
            <w:tcW w:w="1130" w:type="dxa"/>
            <w:tcBorders>
              <w:top w:val="single" w:color="4472C4" w:sz="4" w:space="0"/>
              <w:left w:val="nil"/>
              <w:bottom w:val="nil"/>
              <w:right w:val="nil"/>
            </w:tcBorders>
            <w:shd w:val="clear" w:color="auto" w:fill="auto"/>
            <w:noWrap/>
            <w:vAlign w:val="bottom"/>
            <w:hideMark/>
          </w:tcPr>
          <w:p w:rsidRPr="00A909E5" w:rsidR="00A909E5" w:rsidP="00A909E5" w:rsidRDefault="00A909E5" w14:paraId="0207A147"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                23,920,392 </w:t>
            </w:r>
          </w:p>
        </w:tc>
        <w:tc>
          <w:tcPr>
            <w:tcW w:w="1066"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79C2CB3D"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18%</w:t>
            </w:r>
          </w:p>
        </w:tc>
        <w:tc>
          <w:tcPr>
            <w:tcW w:w="1132" w:type="dxa"/>
            <w:tcBorders>
              <w:top w:val="single" w:color="4472C4" w:sz="4" w:space="0"/>
              <w:left w:val="nil"/>
              <w:bottom w:val="nil"/>
              <w:right w:val="nil"/>
            </w:tcBorders>
            <w:shd w:val="clear" w:color="auto" w:fill="auto"/>
            <w:noWrap/>
            <w:vAlign w:val="bottom"/>
            <w:hideMark/>
          </w:tcPr>
          <w:p w:rsidRPr="00A909E5" w:rsidR="00A909E5" w:rsidP="00A909E5" w:rsidRDefault="00A909E5" w14:paraId="40FBCC53" w14:textId="77777777">
            <w:pPr>
              <w:spacing w:after="0" w:line="240" w:lineRule="auto"/>
              <w:jc w:val="right"/>
              <w:rPr>
                <w:rFonts w:ascii="Calibri" w:hAnsi="Calibri" w:eastAsia="Times New Roman" w:cs="Times New Roman"/>
                <w:b/>
                <w:bCs/>
                <w:color w:val="000000"/>
                <w:sz w:val="18"/>
                <w:szCs w:val="18"/>
                <w:lang w:eastAsia="zh-CN"/>
              </w:rPr>
            </w:pPr>
            <w:r w:rsidRPr="00A909E5">
              <w:rPr>
                <w:rFonts w:ascii="Calibri" w:hAnsi="Calibri" w:eastAsia="Times New Roman" w:cs="Times New Roman"/>
                <w:b/>
                <w:bCs/>
                <w:color w:val="000000"/>
                <w:sz w:val="18"/>
                <w:szCs w:val="18"/>
                <w:lang w:eastAsia="zh-CN"/>
              </w:rPr>
              <w:t xml:space="preserve">                35,610,812 </w:t>
            </w:r>
          </w:p>
        </w:tc>
        <w:tc>
          <w:tcPr>
            <w:tcW w:w="833" w:type="dxa"/>
            <w:tcBorders>
              <w:top w:val="single" w:color="4472C4" w:sz="4" w:space="0"/>
              <w:left w:val="nil"/>
              <w:bottom w:val="nil"/>
              <w:right w:val="nil"/>
            </w:tcBorders>
            <w:shd w:val="clear" w:color="000000" w:fill="FFF2CC"/>
            <w:noWrap/>
            <w:vAlign w:val="bottom"/>
            <w:hideMark/>
          </w:tcPr>
          <w:p w:rsidRPr="00A909E5" w:rsidR="00A909E5" w:rsidP="00A909E5" w:rsidRDefault="00A909E5" w14:paraId="16DA6758"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49%</w:t>
            </w:r>
          </w:p>
        </w:tc>
        <w:tc>
          <w:tcPr>
            <w:tcW w:w="3496" w:type="dxa"/>
            <w:tcBorders>
              <w:top w:val="single" w:color="4472C4" w:sz="4" w:space="0"/>
              <w:left w:val="nil"/>
              <w:bottom w:val="nil"/>
              <w:right w:val="single" w:color="4472C4" w:sz="4" w:space="0"/>
            </w:tcBorders>
            <w:shd w:val="clear" w:color="auto" w:fill="auto"/>
            <w:vAlign w:val="bottom"/>
            <w:hideMark/>
          </w:tcPr>
          <w:p w:rsidRPr="00A909E5" w:rsidR="00A909E5" w:rsidP="00A909E5" w:rsidRDefault="00A909E5" w14:paraId="53BB509E"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All 14 governorates</w:t>
            </w:r>
          </w:p>
        </w:tc>
      </w:tr>
      <w:tr w:rsidRPr="00A909E5" w:rsidR="00A909E5" w:rsidTr="00A909E5" w14:paraId="772F5241" w14:textId="77777777">
        <w:trPr>
          <w:trHeight w:val="204"/>
        </w:trPr>
        <w:tc>
          <w:tcPr>
            <w:tcW w:w="2596" w:type="dxa"/>
            <w:tcBorders>
              <w:top w:val="single" w:color="4472C4" w:sz="4" w:space="0"/>
              <w:left w:val="single" w:color="4472C4" w:sz="4" w:space="0"/>
              <w:bottom w:val="nil"/>
              <w:right w:val="nil"/>
            </w:tcBorders>
            <w:shd w:val="clear" w:color="auto" w:fill="auto"/>
            <w:vAlign w:val="center"/>
            <w:hideMark/>
          </w:tcPr>
          <w:p w:rsidRPr="00A909E5" w:rsidR="00A909E5" w:rsidP="00A909E5" w:rsidRDefault="00A909E5" w14:paraId="1BD74D37"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Save the Children</w:t>
            </w:r>
          </w:p>
        </w:tc>
        <w:tc>
          <w:tcPr>
            <w:tcW w:w="1130" w:type="dxa"/>
            <w:tcBorders>
              <w:top w:val="single" w:color="4472C4" w:sz="4" w:space="0"/>
              <w:left w:val="nil"/>
              <w:bottom w:val="nil"/>
              <w:right w:val="nil"/>
            </w:tcBorders>
            <w:shd w:val="clear" w:color="auto" w:fill="auto"/>
            <w:noWrap/>
            <w:vAlign w:val="bottom"/>
            <w:hideMark/>
          </w:tcPr>
          <w:p w:rsidRPr="00A909E5" w:rsidR="00A909E5" w:rsidP="00A909E5" w:rsidRDefault="00A909E5" w14:paraId="2DB9E9B5"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                   2,000,000 </w:t>
            </w:r>
          </w:p>
        </w:tc>
        <w:tc>
          <w:tcPr>
            <w:tcW w:w="1066" w:type="dxa"/>
            <w:tcBorders>
              <w:top w:val="single" w:color="4472C4" w:sz="4" w:space="0"/>
              <w:left w:val="nil"/>
              <w:bottom w:val="nil"/>
              <w:right w:val="nil"/>
            </w:tcBorders>
            <w:shd w:val="clear" w:color="000000" w:fill="C6E0B4"/>
            <w:noWrap/>
            <w:vAlign w:val="bottom"/>
            <w:hideMark/>
          </w:tcPr>
          <w:p w:rsidRPr="00A909E5" w:rsidR="00A909E5" w:rsidP="00A909E5" w:rsidRDefault="00A909E5" w14:paraId="50479D78"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98%</w:t>
            </w:r>
          </w:p>
        </w:tc>
        <w:tc>
          <w:tcPr>
            <w:tcW w:w="1132" w:type="dxa"/>
            <w:tcBorders>
              <w:top w:val="single" w:color="4472C4" w:sz="4" w:space="0"/>
              <w:left w:val="nil"/>
              <w:bottom w:val="nil"/>
              <w:right w:val="nil"/>
            </w:tcBorders>
            <w:shd w:val="clear" w:color="auto" w:fill="auto"/>
            <w:noWrap/>
            <w:vAlign w:val="bottom"/>
            <w:hideMark/>
          </w:tcPr>
          <w:p w:rsidRPr="00A909E5" w:rsidR="00A909E5" w:rsidP="00A909E5" w:rsidRDefault="00A909E5" w14:paraId="6670E0D4" w14:textId="77777777">
            <w:pPr>
              <w:spacing w:after="0" w:line="240" w:lineRule="auto"/>
              <w:jc w:val="right"/>
              <w:rPr>
                <w:rFonts w:ascii="Calibri" w:hAnsi="Calibri" w:eastAsia="Times New Roman" w:cs="Times New Roman"/>
                <w:b/>
                <w:bCs/>
                <w:color w:val="000000"/>
                <w:sz w:val="18"/>
                <w:szCs w:val="18"/>
                <w:lang w:eastAsia="zh-CN"/>
              </w:rPr>
            </w:pPr>
            <w:r w:rsidRPr="00A909E5">
              <w:rPr>
                <w:rFonts w:ascii="Calibri" w:hAnsi="Calibri" w:eastAsia="Times New Roman" w:cs="Times New Roman"/>
                <w:b/>
                <w:bCs/>
                <w:color w:val="000000"/>
                <w:sz w:val="18"/>
                <w:szCs w:val="18"/>
                <w:lang w:eastAsia="zh-CN"/>
              </w:rPr>
              <w:t xml:space="preserve">                   5,000,000 </w:t>
            </w:r>
          </w:p>
        </w:tc>
        <w:tc>
          <w:tcPr>
            <w:tcW w:w="833"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136E15DC"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150%</w:t>
            </w:r>
          </w:p>
        </w:tc>
        <w:tc>
          <w:tcPr>
            <w:tcW w:w="3496" w:type="dxa"/>
            <w:tcBorders>
              <w:top w:val="single" w:color="4472C4" w:sz="4" w:space="0"/>
              <w:left w:val="nil"/>
              <w:bottom w:val="nil"/>
              <w:right w:val="single" w:color="4472C4" w:sz="4" w:space="0"/>
            </w:tcBorders>
            <w:shd w:val="clear" w:color="auto" w:fill="auto"/>
            <w:vAlign w:val="bottom"/>
            <w:hideMark/>
          </w:tcPr>
          <w:p w:rsidRPr="00A909E5" w:rsidR="00A909E5" w:rsidP="00A909E5" w:rsidRDefault="00A909E5" w14:paraId="01496188"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A909E5">
              <w:rPr>
                <w:rFonts w:ascii="Calibri" w:hAnsi="Calibri" w:eastAsia="Times New Roman" w:cs="Times New Roman"/>
                <w:color w:val="000000"/>
                <w:sz w:val="18"/>
                <w:szCs w:val="18"/>
                <w:lang w:eastAsia="zh-CN"/>
              </w:rPr>
              <w:t>Aleppo;Al</w:t>
            </w:r>
            <w:proofErr w:type="gramEnd"/>
            <w:r w:rsidRPr="00A909E5">
              <w:rPr>
                <w:rFonts w:ascii="Calibri" w:hAnsi="Calibri" w:eastAsia="Times New Roman" w:cs="Times New Roman"/>
                <w:color w:val="000000"/>
                <w:sz w:val="18"/>
                <w:szCs w:val="18"/>
                <w:lang w:eastAsia="zh-CN"/>
              </w:rPr>
              <w:t>-Hasakeh;Ar-Raqqa;Idleb</w:t>
            </w:r>
            <w:proofErr w:type="spellEnd"/>
          </w:p>
        </w:tc>
      </w:tr>
      <w:tr w:rsidRPr="00A909E5" w:rsidR="00A909E5" w:rsidTr="00A909E5" w14:paraId="706159DC" w14:textId="77777777">
        <w:trPr>
          <w:trHeight w:val="204"/>
        </w:trPr>
        <w:tc>
          <w:tcPr>
            <w:tcW w:w="2596" w:type="dxa"/>
            <w:tcBorders>
              <w:top w:val="single" w:color="4472C4" w:sz="4" w:space="0"/>
              <w:left w:val="single" w:color="4472C4" w:sz="4" w:space="0"/>
              <w:bottom w:val="nil"/>
              <w:right w:val="nil"/>
            </w:tcBorders>
            <w:shd w:val="clear" w:color="auto" w:fill="auto"/>
            <w:vAlign w:val="center"/>
            <w:hideMark/>
          </w:tcPr>
          <w:p w:rsidRPr="00A909E5" w:rsidR="00A909E5" w:rsidP="00A909E5" w:rsidRDefault="00A909E5" w14:paraId="6D737C20"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Terre des Hommes - Italy</w:t>
            </w:r>
          </w:p>
        </w:tc>
        <w:tc>
          <w:tcPr>
            <w:tcW w:w="1130" w:type="dxa"/>
            <w:tcBorders>
              <w:top w:val="single" w:color="4472C4" w:sz="4" w:space="0"/>
              <w:left w:val="nil"/>
              <w:bottom w:val="nil"/>
              <w:right w:val="nil"/>
            </w:tcBorders>
            <w:shd w:val="clear" w:color="auto" w:fill="auto"/>
            <w:noWrap/>
            <w:vAlign w:val="bottom"/>
            <w:hideMark/>
          </w:tcPr>
          <w:p w:rsidRPr="00A909E5" w:rsidR="00A909E5" w:rsidP="00A909E5" w:rsidRDefault="00A909E5" w14:paraId="026DCE64"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                      942,906 </w:t>
            </w:r>
          </w:p>
        </w:tc>
        <w:tc>
          <w:tcPr>
            <w:tcW w:w="1066" w:type="dxa"/>
            <w:tcBorders>
              <w:top w:val="single" w:color="4472C4" w:sz="4" w:space="0"/>
              <w:left w:val="nil"/>
              <w:bottom w:val="nil"/>
              <w:right w:val="nil"/>
            </w:tcBorders>
            <w:shd w:val="clear" w:color="000000" w:fill="FFF2CC"/>
            <w:noWrap/>
            <w:vAlign w:val="bottom"/>
            <w:hideMark/>
          </w:tcPr>
          <w:p w:rsidRPr="00A909E5" w:rsidR="00A909E5" w:rsidP="00A909E5" w:rsidRDefault="00A909E5" w14:paraId="4993820F"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54%</w:t>
            </w:r>
          </w:p>
        </w:tc>
        <w:tc>
          <w:tcPr>
            <w:tcW w:w="1132" w:type="dxa"/>
            <w:tcBorders>
              <w:top w:val="single" w:color="4472C4" w:sz="4" w:space="0"/>
              <w:left w:val="nil"/>
              <w:bottom w:val="nil"/>
              <w:right w:val="nil"/>
            </w:tcBorders>
            <w:shd w:val="clear" w:color="auto" w:fill="auto"/>
            <w:noWrap/>
            <w:vAlign w:val="bottom"/>
            <w:hideMark/>
          </w:tcPr>
          <w:p w:rsidRPr="00A909E5" w:rsidR="00A909E5" w:rsidP="00A909E5" w:rsidRDefault="00A909E5" w14:paraId="3AF147FA" w14:textId="77777777">
            <w:pPr>
              <w:spacing w:after="0" w:line="240" w:lineRule="auto"/>
              <w:jc w:val="right"/>
              <w:rPr>
                <w:rFonts w:ascii="Calibri" w:hAnsi="Calibri" w:eastAsia="Times New Roman" w:cs="Times New Roman"/>
                <w:b/>
                <w:bCs/>
                <w:color w:val="000000"/>
                <w:sz w:val="18"/>
                <w:szCs w:val="18"/>
                <w:lang w:eastAsia="zh-CN"/>
              </w:rPr>
            </w:pPr>
            <w:r w:rsidRPr="00A909E5">
              <w:rPr>
                <w:rFonts w:ascii="Calibri" w:hAnsi="Calibri" w:eastAsia="Times New Roman" w:cs="Times New Roman"/>
                <w:b/>
                <w:bCs/>
                <w:color w:val="000000"/>
                <w:sz w:val="18"/>
                <w:szCs w:val="18"/>
                <w:lang w:eastAsia="zh-CN"/>
              </w:rPr>
              <w:t xml:space="preserve">                   2,009,328 </w:t>
            </w:r>
          </w:p>
        </w:tc>
        <w:tc>
          <w:tcPr>
            <w:tcW w:w="833"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55631A16"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113%</w:t>
            </w:r>
          </w:p>
        </w:tc>
        <w:tc>
          <w:tcPr>
            <w:tcW w:w="3496" w:type="dxa"/>
            <w:tcBorders>
              <w:top w:val="single" w:color="4472C4" w:sz="4" w:space="0"/>
              <w:left w:val="nil"/>
              <w:bottom w:val="nil"/>
              <w:right w:val="single" w:color="4472C4" w:sz="4" w:space="0"/>
            </w:tcBorders>
            <w:shd w:val="clear" w:color="auto" w:fill="auto"/>
            <w:vAlign w:val="bottom"/>
            <w:hideMark/>
          </w:tcPr>
          <w:p w:rsidRPr="00A909E5" w:rsidR="00A909E5" w:rsidP="00A909E5" w:rsidRDefault="00A909E5" w14:paraId="55EC96C8" w14:textId="77777777">
            <w:pPr>
              <w:spacing w:after="0" w:line="240" w:lineRule="auto"/>
              <w:rPr>
                <w:rFonts w:ascii="Calibri" w:hAnsi="Calibri" w:eastAsia="Times New Roman" w:cs="Times New Roman"/>
                <w:color w:val="000000"/>
                <w:sz w:val="18"/>
                <w:szCs w:val="18"/>
                <w:lang w:eastAsia="zh-CN"/>
              </w:rPr>
            </w:pPr>
            <w:proofErr w:type="spellStart"/>
            <w:r w:rsidRPr="00A909E5">
              <w:rPr>
                <w:rFonts w:ascii="Calibri" w:hAnsi="Calibri" w:eastAsia="Times New Roman" w:cs="Times New Roman"/>
                <w:color w:val="000000"/>
                <w:sz w:val="18"/>
                <w:szCs w:val="18"/>
                <w:lang w:eastAsia="zh-CN"/>
              </w:rPr>
              <w:t>Al-</w:t>
            </w:r>
            <w:proofErr w:type="gramStart"/>
            <w:r w:rsidRPr="00A909E5">
              <w:rPr>
                <w:rFonts w:ascii="Calibri" w:hAnsi="Calibri" w:eastAsia="Times New Roman" w:cs="Times New Roman"/>
                <w:color w:val="000000"/>
                <w:sz w:val="18"/>
                <w:szCs w:val="18"/>
                <w:lang w:eastAsia="zh-CN"/>
              </w:rPr>
              <w:t>HasakehDar'aHama;HomsRural</w:t>
            </w:r>
            <w:proofErr w:type="spellEnd"/>
            <w:proofErr w:type="gramEnd"/>
            <w:r w:rsidRPr="00A909E5">
              <w:rPr>
                <w:rFonts w:ascii="Calibri" w:hAnsi="Calibri" w:eastAsia="Times New Roman" w:cs="Times New Roman"/>
                <w:color w:val="000000"/>
                <w:sz w:val="18"/>
                <w:szCs w:val="18"/>
                <w:lang w:eastAsia="zh-CN"/>
              </w:rPr>
              <w:t xml:space="preserve"> Damascus;</w:t>
            </w:r>
          </w:p>
        </w:tc>
      </w:tr>
      <w:tr w:rsidRPr="00A909E5" w:rsidR="00A909E5" w:rsidTr="00A909E5" w14:paraId="0D971503" w14:textId="77777777">
        <w:trPr>
          <w:trHeight w:val="204"/>
        </w:trPr>
        <w:tc>
          <w:tcPr>
            <w:tcW w:w="2596" w:type="dxa"/>
            <w:tcBorders>
              <w:top w:val="single" w:color="4472C4" w:sz="4" w:space="0"/>
              <w:left w:val="single" w:color="4472C4" w:sz="4" w:space="0"/>
              <w:bottom w:val="nil"/>
              <w:right w:val="nil"/>
            </w:tcBorders>
            <w:shd w:val="clear" w:color="auto" w:fill="auto"/>
            <w:vAlign w:val="center"/>
            <w:hideMark/>
          </w:tcPr>
          <w:p w:rsidRPr="00A909E5" w:rsidR="00A909E5" w:rsidP="00A909E5" w:rsidRDefault="00A909E5" w14:paraId="61C139A4"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Physicians Across Continents</w:t>
            </w:r>
          </w:p>
        </w:tc>
        <w:tc>
          <w:tcPr>
            <w:tcW w:w="1130" w:type="dxa"/>
            <w:tcBorders>
              <w:top w:val="single" w:color="4472C4" w:sz="4" w:space="0"/>
              <w:left w:val="nil"/>
              <w:bottom w:val="nil"/>
              <w:right w:val="nil"/>
            </w:tcBorders>
            <w:shd w:val="clear" w:color="auto" w:fill="auto"/>
            <w:noWrap/>
            <w:vAlign w:val="bottom"/>
            <w:hideMark/>
          </w:tcPr>
          <w:p w:rsidRPr="00A909E5" w:rsidR="00A909E5" w:rsidP="00A909E5" w:rsidRDefault="00A909E5" w14:paraId="4CCD37FF"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                      797,796 </w:t>
            </w:r>
          </w:p>
        </w:tc>
        <w:tc>
          <w:tcPr>
            <w:tcW w:w="1066"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77EA0F4B"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0%</w:t>
            </w:r>
          </w:p>
        </w:tc>
        <w:tc>
          <w:tcPr>
            <w:tcW w:w="1132" w:type="dxa"/>
            <w:tcBorders>
              <w:top w:val="single" w:color="4472C4" w:sz="4" w:space="0"/>
              <w:left w:val="nil"/>
              <w:bottom w:val="nil"/>
              <w:right w:val="nil"/>
            </w:tcBorders>
            <w:shd w:val="clear" w:color="auto" w:fill="auto"/>
            <w:noWrap/>
            <w:vAlign w:val="bottom"/>
            <w:hideMark/>
          </w:tcPr>
          <w:p w:rsidRPr="00A909E5" w:rsidR="00A909E5" w:rsidP="00A909E5" w:rsidRDefault="00A909E5" w14:paraId="6959B265" w14:textId="77777777">
            <w:pPr>
              <w:spacing w:after="0" w:line="240" w:lineRule="auto"/>
              <w:jc w:val="right"/>
              <w:rPr>
                <w:rFonts w:ascii="Calibri" w:hAnsi="Calibri" w:eastAsia="Times New Roman" w:cs="Times New Roman"/>
                <w:b/>
                <w:bCs/>
                <w:color w:val="000000"/>
                <w:sz w:val="18"/>
                <w:szCs w:val="18"/>
                <w:lang w:eastAsia="zh-CN"/>
              </w:rPr>
            </w:pPr>
            <w:r w:rsidRPr="00A909E5">
              <w:rPr>
                <w:rFonts w:ascii="Calibri" w:hAnsi="Calibri" w:eastAsia="Times New Roman" w:cs="Times New Roman"/>
                <w:b/>
                <w:bCs/>
                <w:color w:val="000000"/>
                <w:sz w:val="18"/>
                <w:szCs w:val="18"/>
                <w:lang w:eastAsia="zh-CN"/>
              </w:rPr>
              <w:t xml:space="preserve">                   1,308,271 </w:t>
            </w:r>
          </w:p>
        </w:tc>
        <w:tc>
          <w:tcPr>
            <w:tcW w:w="833"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311DBA2A"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64%</w:t>
            </w:r>
          </w:p>
        </w:tc>
        <w:tc>
          <w:tcPr>
            <w:tcW w:w="3496" w:type="dxa"/>
            <w:tcBorders>
              <w:top w:val="single" w:color="4472C4" w:sz="4" w:space="0"/>
              <w:left w:val="nil"/>
              <w:bottom w:val="nil"/>
              <w:right w:val="single" w:color="4472C4" w:sz="4" w:space="0"/>
            </w:tcBorders>
            <w:shd w:val="clear" w:color="auto" w:fill="auto"/>
            <w:vAlign w:val="bottom"/>
            <w:hideMark/>
          </w:tcPr>
          <w:p w:rsidRPr="00A909E5" w:rsidR="00A909E5" w:rsidP="00A909E5" w:rsidRDefault="00A909E5" w14:paraId="5C7B9F31"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A909E5">
              <w:rPr>
                <w:rFonts w:ascii="Calibri" w:hAnsi="Calibri" w:eastAsia="Times New Roman" w:cs="Times New Roman"/>
                <w:color w:val="000000"/>
                <w:sz w:val="18"/>
                <w:szCs w:val="18"/>
                <w:lang w:eastAsia="zh-CN"/>
              </w:rPr>
              <w:t>Aleppo;Idleb</w:t>
            </w:r>
            <w:proofErr w:type="spellEnd"/>
            <w:proofErr w:type="gramEnd"/>
          </w:p>
        </w:tc>
      </w:tr>
      <w:tr w:rsidRPr="00A909E5" w:rsidR="00A909E5" w:rsidTr="00A909E5" w14:paraId="53E860E1" w14:textId="77777777">
        <w:trPr>
          <w:trHeight w:val="204"/>
        </w:trPr>
        <w:tc>
          <w:tcPr>
            <w:tcW w:w="2596" w:type="dxa"/>
            <w:tcBorders>
              <w:top w:val="single" w:color="4472C4" w:sz="4" w:space="0"/>
              <w:left w:val="single" w:color="4472C4" w:sz="4" w:space="0"/>
              <w:bottom w:val="nil"/>
              <w:right w:val="nil"/>
            </w:tcBorders>
            <w:shd w:val="clear" w:color="auto" w:fill="auto"/>
            <w:vAlign w:val="center"/>
            <w:hideMark/>
          </w:tcPr>
          <w:p w:rsidRPr="00A909E5" w:rsidR="00A909E5" w:rsidP="00A909E5" w:rsidRDefault="00A909E5" w14:paraId="780DD161"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BINAA Organization for Development</w:t>
            </w:r>
          </w:p>
        </w:tc>
        <w:tc>
          <w:tcPr>
            <w:tcW w:w="1130" w:type="dxa"/>
            <w:tcBorders>
              <w:top w:val="single" w:color="4472C4" w:sz="4" w:space="0"/>
              <w:left w:val="nil"/>
              <w:bottom w:val="nil"/>
              <w:right w:val="nil"/>
            </w:tcBorders>
            <w:shd w:val="clear" w:color="auto" w:fill="auto"/>
            <w:noWrap/>
            <w:vAlign w:val="bottom"/>
            <w:hideMark/>
          </w:tcPr>
          <w:p w:rsidRPr="00A909E5" w:rsidR="00A909E5" w:rsidP="00A909E5" w:rsidRDefault="00A909E5" w14:paraId="45266668"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                      445,000 </w:t>
            </w:r>
          </w:p>
        </w:tc>
        <w:tc>
          <w:tcPr>
            <w:tcW w:w="1066"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6D337A79"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0%</w:t>
            </w:r>
          </w:p>
        </w:tc>
        <w:tc>
          <w:tcPr>
            <w:tcW w:w="1132" w:type="dxa"/>
            <w:tcBorders>
              <w:top w:val="single" w:color="4472C4" w:sz="4" w:space="0"/>
              <w:left w:val="nil"/>
              <w:bottom w:val="nil"/>
              <w:right w:val="nil"/>
            </w:tcBorders>
            <w:shd w:val="clear" w:color="auto" w:fill="auto"/>
            <w:noWrap/>
            <w:vAlign w:val="bottom"/>
            <w:hideMark/>
          </w:tcPr>
          <w:p w:rsidRPr="00A909E5" w:rsidR="00A909E5" w:rsidP="00A909E5" w:rsidRDefault="00A909E5" w14:paraId="6AEE53DD" w14:textId="77777777">
            <w:pPr>
              <w:spacing w:after="0" w:line="240" w:lineRule="auto"/>
              <w:jc w:val="right"/>
              <w:rPr>
                <w:rFonts w:ascii="Calibri" w:hAnsi="Calibri" w:eastAsia="Times New Roman" w:cs="Times New Roman"/>
                <w:b/>
                <w:bCs/>
                <w:color w:val="000000"/>
                <w:sz w:val="18"/>
                <w:szCs w:val="18"/>
                <w:lang w:eastAsia="zh-CN"/>
              </w:rPr>
            </w:pPr>
            <w:r w:rsidRPr="00A909E5">
              <w:rPr>
                <w:rFonts w:ascii="Calibri" w:hAnsi="Calibri" w:eastAsia="Times New Roman" w:cs="Times New Roman"/>
                <w:b/>
                <w:bCs/>
                <w:color w:val="000000"/>
                <w:sz w:val="18"/>
                <w:szCs w:val="18"/>
                <w:lang w:eastAsia="zh-CN"/>
              </w:rPr>
              <w:t xml:space="preserve">                   1,289,436 </w:t>
            </w:r>
          </w:p>
        </w:tc>
        <w:tc>
          <w:tcPr>
            <w:tcW w:w="833"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5414324E"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190%</w:t>
            </w:r>
          </w:p>
        </w:tc>
        <w:tc>
          <w:tcPr>
            <w:tcW w:w="3496" w:type="dxa"/>
            <w:tcBorders>
              <w:top w:val="single" w:color="4472C4" w:sz="4" w:space="0"/>
              <w:left w:val="nil"/>
              <w:bottom w:val="nil"/>
              <w:right w:val="single" w:color="4472C4" w:sz="4" w:space="0"/>
            </w:tcBorders>
            <w:shd w:val="clear" w:color="auto" w:fill="auto"/>
            <w:vAlign w:val="bottom"/>
            <w:hideMark/>
          </w:tcPr>
          <w:p w:rsidRPr="00A909E5" w:rsidR="00A909E5" w:rsidP="00A909E5" w:rsidRDefault="00A909E5" w14:paraId="25DABF44"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A909E5">
              <w:rPr>
                <w:rFonts w:ascii="Calibri" w:hAnsi="Calibri" w:eastAsia="Times New Roman" w:cs="Times New Roman"/>
                <w:color w:val="000000"/>
                <w:sz w:val="18"/>
                <w:szCs w:val="18"/>
                <w:lang w:eastAsia="zh-CN"/>
              </w:rPr>
              <w:t>Aleppo;Idleb</w:t>
            </w:r>
            <w:proofErr w:type="spellEnd"/>
            <w:proofErr w:type="gramEnd"/>
          </w:p>
        </w:tc>
      </w:tr>
      <w:tr w:rsidRPr="00A909E5" w:rsidR="00A909E5" w:rsidTr="00A909E5" w14:paraId="74423701" w14:textId="77777777">
        <w:trPr>
          <w:trHeight w:val="204"/>
        </w:trPr>
        <w:tc>
          <w:tcPr>
            <w:tcW w:w="2596" w:type="dxa"/>
            <w:tcBorders>
              <w:top w:val="single" w:color="4472C4" w:sz="4" w:space="0"/>
              <w:left w:val="single" w:color="4472C4" w:sz="4" w:space="0"/>
              <w:bottom w:val="nil"/>
              <w:right w:val="nil"/>
            </w:tcBorders>
            <w:shd w:val="clear" w:color="auto" w:fill="auto"/>
            <w:vAlign w:val="center"/>
            <w:hideMark/>
          </w:tcPr>
          <w:p w:rsidRPr="00A909E5" w:rsidR="00A909E5" w:rsidP="00A909E5" w:rsidRDefault="00A909E5" w14:paraId="14D97507"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Mercy-USA for Aid and Development</w:t>
            </w:r>
          </w:p>
        </w:tc>
        <w:tc>
          <w:tcPr>
            <w:tcW w:w="1130" w:type="dxa"/>
            <w:tcBorders>
              <w:top w:val="single" w:color="4472C4" w:sz="4" w:space="0"/>
              <w:left w:val="nil"/>
              <w:bottom w:val="nil"/>
              <w:right w:val="nil"/>
            </w:tcBorders>
            <w:shd w:val="clear" w:color="auto" w:fill="auto"/>
            <w:noWrap/>
            <w:vAlign w:val="bottom"/>
            <w:hideMark/>
          </w:tcPr>
          <w:p w:rsidRPr="00A909E5" w:rsidR="00A909E5" w:rsidP="00A909E5" w:rsidRDefault="00A909E5" w14:paraId="756B467C"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                      750,000 </w:t>
            </w:r>
          </w:p>
        </w:tc>
        <w:tc>
          <w:tcPr>
            <w:tcW w:w="1066" w:type="dxa"/>
            <w:tcBorders>
              <w:top w:val="single" w:color="4472C4" w:sz="4" w:space="0"/>
              <w:left w:val="nil"/>
              <w:bottom w:val="nil"/>
              <w:right w:val="nil"/>
            </w:tcBorders>
            <w:shd w:val="clear" w:color="000000" w:fill="FFF2CC"/>
            <w:noWrap/>
            <w:vAlign w:val="bottom"/>
            <w:hideMark/>
          </w:tcPr>
          <w:p w:rsidRPr="00A909E5" w:rsidR="00A909E5" w:rsidP="00A909E5" w:rsidRDefault="00A909E5" w14:paraId="2F7C050C"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51%</w:t>
            </w:r>
          </w:p>
        </w:tc>
        <w:tc>
          <w:tcPr>
            <w:tcW w:w="1132" w:type="dxa"/>
            <w:tcBorders>
              <w:top w:val="single" w:color="4472C4" w:sz="4" w:space="0"/>
              <w:left w:val="nil"/>
              <w:bottom w:val="nil"/>
              <w:right w:val="nil"/>
            </w:tcBorders>
            <w:shd w:val="clear" w:color="auto" w:fill="auto"/>
            <w:noWrap/>
            <w:vAlign w:val="bottom"/>
            <w:hideMark/>
          </w:tcPr>
          <w:p w:rsidRPr="00A909E5" w:rsidR="00A909E5" w:rsidP="00A909E5" w:rsidRDefault="00A909E5" w14:paraId="43DA7CE5" w14:textId="77777777">
            <w:pPr>
              <w:spacing w:after="0" w:line="240" w:lineRule="auto"/>
              <w:jc w:val="right"/>
              <w:rPr>
                <w:rFonts w:ascii="Calibri" w:hAnsi="Calibri" w:eastAsia="Times New Roman" w:cs="Times New Roman"/>
                <w:b/>
                <w:bCs/>
                <w:color w:val="000000"/>
                <w:sz w:val="18"/>
                <w:szCs w:val="18"/>
                <w:lang w:eastAsia="zh-CN"/>
              </w:rPr>
            </w:pPr>
            <w:r w:rsidRPr="00A909E5">
              <w:rPr>
                <w:rFonts w:ascii="Calibri" w:hAnsi="Calibri" w:eastAsia="Times New Roman" w:cs="Times New Roman"/>
                <w:b/>
                <w:bCs/>
                <w:color w:val="000000"/>
                <w:sz w:val="18"/>
                <w:szCs w:val="18"/>
                <w:lang w:eastAsia="zh-CN"/>
              </w:rPr>
              <w:t xml:space="preserve">                   1,271,904 </w:t>
            </w:r>
          </w:p>
        </w:tc>
        <w:tc>
          <w:tcPr>
            <w:tcW w:w="833"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2FF6275F"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70%</w:t>
            </w:r>
          </w:p>
        </w:tc>
        <w:tc>
          <w:tcPr>
            <w:tcW w:w="3496" w:type="dxa"/>
            <w:tcBorders>
              <w:top w:val="single" w:color="4472C4" w:sz="4" w:space="0"/>
              <w:left w:val="nil"/>
              <w:bottom w:val="nil"/>
              <w:right w:val="single" w:color="4472C4" w:sz="4" w:space="0"/>
            </w:tcBorders>
            <w:shd w:val="clear" w:color="auto" w:fill="auto"/>
            <w:vAlign w:val="bottom"/>
            <w:hideMark/>
          </w:tcPr>
          <w:p w:rsidRPr="00A909E5" w:rsidR="00A909E5" w:rsidP="00A909E5" w:rsidRDefault="00A909E5" w14:paraId="11513A9C"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Idleb</w:t>
            </w:r>
          </w:p>
        </w:tc>
      </w:tr>
      <w:tr w:rsidRPr="00A909E5" w:rsidR="00A909E5" w:rsidTr="00A909E5" w14:paraId="37504721" w14:textId="77777777">
        <w:trPr>
          <w:trHeight w:val="204"/>
        </w:trPr>
        <w:tc>
          <w:tcPr>
            <w:tcW w:w="2596" w:type="dxa"/>
            <w:tcBorders>
              <w:top w:val="single" w:color="4472C4" w:sz="4" w:space="0"/>
              <w:left w:val="single" w:color="4472C4" w:sz="4" w:space="0"/>
              <w:bottom w:val="nil"/>
              <w:right w:val="nil"/>
            </w:tcBorders>
            <w:shd w:val="clear" w:color="auto" w:fill="auto"/>
            <w:vAlign w:val="center"/>
            <w:hideMark/>
          </w:tcPr>
          <w:p w:rsidRPr="00A909E5" w:rsidR="00A909E5" w:rsidP="00A909E5" w:rsidRDefault="00A909E5" w14:paraId="2B451461"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World Health Organization</w:t>
            </w:r>
          </w:p>
        </w:tc>
        <w:tc>
          <w:tcPr>
            <w:tcW w:w="1130" w:type="dxa"/>
            <w:tcBorders>
              <w:top w:val="single" w:color="4472C4" w:sz="4" w:space="0"/>
              <w:left w:val="nil"/>
              <w:bottom w:val="nil"/>
              <w:right w:val="nil"/>
            </w:tcBorders>
            <w:shd w:val="clear" w:color="auto" w:fill="auto"/>
            <w:noWrap/>
            <w:vAlign w:val="bottom"/>
            <w:hideMark/>
          </w:tcPr>
          <w:p w:rsidRPr="00A909E5" w:rsidR="00A909E5" w:rsidP="00A909E5" w:rsidRDefault="00A909E5" w14:paraId="142BA030"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                   1,045,000 </w:t>
            </w:r>
          </w:p>
        </w:tc>
        <w:tc>
          <w:tcPr>
            <w:tcW w:w="1066"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68AD07D5"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0%</w:t>
            </w:r>
          </w:p>
        </w:tc>
        <w:tc>
          <w:tcPr>
            <w:tcW w:w="1132" w:type="dxa"/>
            <w:tcBorders>
              <w:top w:val="single" w:color="4472C4" w:sz="4" w:space="0"/>
              <w:left w:val="nil"/>
              <w:bottom w:val="nil"/>
              <w:right w:val="nil"/>
            </w:tcBorders>
            <w:shd w:val="clear" w:color="auto" w:fill="auto"/>
            <w:noWrap/>
            <w:vAlign w:val="bottom"/>
            <w:hideMark/>
          </w:tcPr>
          <w:p w:rsidRPr="00A909E5" w:rsidR="00A909E5" w:rsidP="00A909E5" w:rsidRDefault="00A909E5" w14:paraId="511271A3" w14:textId="77777777">
            <w:pPr>
              <w:spacing w:after="0" w:line="240" w:lineRule="auto"/>
              <w:jc w:val="right"/>
              <w:rPr>
                <w:rFonts w:ascii="Calibri" w:hAnsi="Calibri" w:eastAsia="Times New Roman" w:cs="Times New Roman"/>
                <w:b/>
                <w:bCs/>
                <w:color w:val="000000"/>
                <w:sz w:val="18"/>
                <w:szCs w:val="18"/>
                <w:lang w:eastAsia="zh-CN"/>
              </w:rPr>
            </w:pPr>
            <w:r w:rsidRPr="00A909E5">
              <w:rPr>
                <w:rFonts w:ascii="Calibri" w:hAnsi="Calibri" w:eastAsia="Times New Roman" w:cs="Times New Roman"/>
                <w:b/>
                <w:bCs/>
                <w:color w:val="000000"/>
                <w:sz w:val="18"/>
                <w:szCs w:val="18"/>
                <w:lang w:eastAsia="zh-CN"/>
              </w:rPr>
              <w:t xml:space="preserve">                   1,147,900 </w:t>
            </w:r>
          </w:p>
        </w:tc>
        <w:tc>
          <w:tcPr>
            <w:tcW w:w="833" w:type="dxa"/>
            <w:tcBorders>
              <w:top w:val="single" w:color="4472C4" w:sz="4" w:space="0"/>
              <w:left w:val="nil"/>
              <w:bottom w:val="nil"/>
              <w:right w:val="nil"/>
            </w:tcBorders>
            <w:shd w:val="clear" w:color="000000" w:fill="C6E0B4"/>
            <w:noWrap/>
            <w:vAlign w:val="bottom"/>
            <w:hideMark/>
          </w:tcPr>
          <w:p w:rsidRPr="00A909E5" w:rsidR="00A909E5" w:rsidP="00A909E5" w:rsidRDefault="00A909E5" w14:paraId="4B9E4C56"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10%</w:t>
            </w:r>
          </w:p>
        </w:tc>
        <w:tc>
          <w:tcPr>
            <w:tcW w:w="3496" w:type="dxa"/>
            <w:tcBorders>
              <w:top w:val="single" w:color="4472C4" w:sz="4" w:space="0"/>
              <w:left w:val="nil"/>
              <w:bottom w:val="nil"/>
              <w:right w:val="single" w:color="4472C4" w:sz="4" w:space="0"/>
            </w:tcBorders>
            <w:shd w:val="clear" w:color="auto" w:fill="auto"/>
            <w:vAlign w:val="bottom"/>
            <w:hideMark/>
          </w:tcPr>
          <w:p w:rsidRPr="00A909E5" w:rsidR="00A909E5" w:rsidP="00A909E5" w:rsidRDefault="00A909E5" w14:paraId="12E35C15"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All 14 governorates</w:t>
            </w:r>
          </w:p>
        </w:tc>
      </w:tr>
      <w:tr w:rsidRPr="00A909E5" w:rsidR="00A909E5" w:rsidTr="00A909E5" w14:paraId="74007615" w14:textId="77777777">
        <w:trPr>
          <w:trHeight w:val="204"/>
        </w:trPr>
        <w:tc>
          <w:tcPr>
            <w:tcW w:w="2596" w:type="dxa"/>
            <w:tcBorders>
              <w:top w:val="single" w:color="4472C4" w:sz="4" w:space="0"/>
              <w:left w:val="single" w:color="4472C4" w:sz="4" w:space="0"/>
              <w:bottom w:val="nil"/>
              <w:right w:val="nil"/>
            </w:tcBorders>
            <w:shd w:val="clear" w:color="auto" w:fill="auto"/>
            <w:vAlign w:val="center"/>
            <w:hideMark/>
          </w:tcPr>
          <w:p w:rsidRPr="00A909E5" w:rsidR="00A909E5" w:rsidP="00A909E5" w:rsidRDefault="00A909E5" w14:paraId="1DC58AFE"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Social Development International - SDI</w:t>
            </w:r>
          </w:p>
        </w:tc>
        <w:tc>
          <w:tcPr>
            <w:tcW w:w="1130" w:type="dxa"/>
            <w:tcBorders>
              <w:top w:val="single" w:color="4472C4" w:sz="4" w:space="0"/>
              <w:left w:val="nil"/>
              <w:bottom w:val="nil"/>
              <w:right w:val="nil"/>
            </w:tcBorders>
            <w:shd w:val="clear" w:color="auto" w:fill="auto"/>
            <w:noWrap/>
            <w:vAlign w:val="bottom"/>
            <w:hideMark/>
          </w:tcPr>
          <w:p w:rsidRPr="00A909E5" w:rsidR="00A909E5" w:rsidP="00A909E5" w:rsidRDefault="00A909E5" w14:paraId="3E71E91F"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                      538,000 </w:t>
            </w:r>
          </w:p>
        </w:tc>
        <w:tc>
          <w:tcPr>
            <w:tcW w:w="1066"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3309229A"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0%</w:t>
            </w:r>
          </w:p>
        </w:tc>
        <w:tc>
          <w:tcPr>
            <w:tcW w:w="1132" w:type="dxa"/>
            <w:tcBorders>
              <w:top w:val="single" w:color="4472C4" w:sz="4" w:space="0"/>
              <w:left w:val="nil"/>
              <w:bottom w:val="nil"/>
              <w:right w:val="nil"/>
            </w:tcBorders>
            <w:shd w:val="clear" w:color="auto" w:fill="auto"/>
            <w:noWrap/>
            <w:vAlign w:val="bottom"/>
            <w:hideMark/>
          </w:tcPr>
          <w:p w:rsidRPr="00A909E5" w:rsidR="00A909E5" w:rsidP="00A909E5" w:rsidRDefault="00A909E5" w14:paraId="00814DB5" w14:textId="77777777">
            <w:pPr>
              <w:spacing w:after="0" w:line="240" w:lineRule="auto"/>
              <w:jc w:val="right"/>
              <w:rPr>
                <w:rFonts w:ascii="Calibri" w:hAnsi="Calibri" w:eastAsia="Times New Roman" w:cs="Times New Roman"/>
                <w:b/>
                <w:bCs/>
                <w:color w:val="000000"/>
                <w:sz w:val="18"/>
                <w:szCs w:val="18"/>
                <w:lang w:eastAsia="zh-CN"/>
              </w:rPr>
            </w:pPr>
            <w:r w:rsidRPr="00A909E5">
              <w:rPr>
                <w:rFonts w:ascii="Calibri" w:hAnsi="Calibri" w:eastAsia="Times New Roman" w:cs="Times New Roman"/>
                <w:b/>
                <w:bCs/>
                <w:color w:val="000000"/>
                <w:sz w:val="18"/>
                <w:szCs w:val="18"/>
                <w:lang w:eastAsia="zh-CN"/>
              </w:rPr>
              <w:t xml:space="preserve">                      913,300 </w:t>
            </w:r>
          </w:p>
        </w:tc>
        <w:tc>
          <w:tcPr>
            <w:tcW w:w="833"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7B8ED179"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70%</w:t>
            </w:r>
          </w:p>
        </w:tc>
        <w:tc>
          <w:tcPr>
            <w:tcW w:w="3496" w:type="dxa"/>
            <w:tcBorders>
              <w:top w:val="single" w:color="4472C4" w:sz="4" w:space="0"/>
              <w:left w:val="nil"/>
              <w:bottom w:val="nil"/>
              <w:right w:val="single" w:color="4472C4" w:sz="4" w:space="0"/>
            </w:tcBorders>
            <w:shd w:val="clear" w:color="auto" w:fill="auto"/>
            <w:vAlign w:val="bottom"/>
            <w:hideMark/>
          </w:tcPr>
          <w:p w:rsidRPr="00A909E5" w:rsidR="00A909E5" w:rsidP="00A909E5" w:rsidRDefault="00A909E5" w14:paraId="3106FC0E"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A909E5">
              <w:rPr>
                <w:rFonts w:ascii="Calibri" w:hAnsi="Calibri" w:eastAsia="Times New Roman" w:cs="Times New Roman"/>
                <w:color w:val="000000"/>
                <w:sz w:val="18"/>
                <w:szCs w:val="18"/>
                <w:lang w:eastAsia="zh-CN"/>
              </w:rPr>
              <w:t>Aleppo;Idleb</w:t>
            </w:r>
            <w:proofErr w:type="spellEnd"/>
            <w:proofErr w:type="gramEnd"/>
          </w:p>
        </w:tc>
      </w:tr>
      <w:tr w:rsidRPr="00A909E5" w:rsidR="00A909E5" w:rsidTr="00A909E5" w14:paraId="576C04EC" w14:textId="77777777">
        <w:trPr>
          <w:trHeight w:val="204"/>
        </w:trPr>
        <w:tc>
          <w:tcPr>
            <w:tcW w:w="2596" w:type="dxa"/>
            <w:tcBorders>
              <w:top w:val="single" w:color="4472C4" w:sz="4" w:space="0"/>
              <w:left w:val="single" w:color="4472C4" w:sz="4" w:space="0"/>
              <w:bottom w:val="single" w:color="4472C4" w:sz="4" w:space="0"/>
              <w:right w:val="nil"/>
            </w:tcBorders>
            <w:shd w:val="clear" w:color="auto" w:fill="auto"/>
            <w:vAlign w:val="center"/>
            <w:hideMark/>
          </w:tcPr>
          <w:p w:rsidRPr="00A909E5" w:rsidR="00A909E5" w:rsidP="00A909E5" w:rsidRDefault="00A909E5" w14:paraId="50BEEB07" w14:textId="77777777">
            <w:pPr>
              <w:spacing w:after="0" w:line="240" w:lineRule="auto"/>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Al Sham Humanitarian Foundation</w:t>
            </w:r>
          </w:p>
        </w:tc>
        <w:tc>
          <w:tcPr>
            <w:tcW w:w="1130" w:type="dxa"/>
            <w:tcBorders>
              <w:top w:val="single" w:color="4472C4" w:sz="4" w:space="0"/>
              <w:left w:val="nil"/>
              <w:bottom w:val="single" w:color="4472C4" w:sz="4" w:space="0"/>
              <w:right w:val="nil"/>
            </w:tcBorders>
            <w:shd w:val="clear" w:color="auto" w:fill="auto"/>
            <w:noWrap/>
            <w:vAlign w:val="bottom"/>
            <w:hideMark/>
          </w:tcPr>
          <w:p w:rsidRPr="00A909E5" w:rsidR="00A909E5" w:rsidP="00A909E5" w:rsidRDefault="00A909E5" w14:paraId="474B5EDC"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 xml:space="preserve">                      390,400 </w:t>
            </w:r>
          </w:p>
        </w:tc>
        <w:tc>
          <w:tcPr>
            <w:tcW w:w="1066" w:type="dxa"/>
            <w:tcBorders>
              <w:top w:val="single" w:color="4472C4" w:sz="4" w:space="0"/>
              <w:left w:val="nil"/>
              <w:bottom w:val="single" w:color="4472C4" w:sz="4" w:space="0"/>
              <w:right w:val="nil"/>
            </w:tcBorders>
            <w:shd w:val="clear" w:color="000000" w:fill="C6E0B4"/>
            <w:noWrap/>
            <w:vAlign w:val="bottom"/>
            <w:hideMark/>
          </w:tcPr>
          <w:p w:rsidRPr="00A909E5" w:rsidR="00A909E5" w:rsidP="00A909E5" w:rsidRDefault="00A909E5" w14:paraId="3182E64E"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67%</w:t>
            </w:r>
          </w:p>
        </w:tc>
        <w:tc>
          <w:tcPr>
            <w:tcW w:w="1132" w:type="dxa"/>
            <w:tcBorders>
              <w:top w:val="single" w:color="4472C4" w:sz="4" w:space="0"/>
              <w:left w:val="nil"/>
              <w:bottom w:val="single" w:color="4472C4" w:sz="4" w:space="0"/>
              <w:right w:val="nil"/>
            </w:tcBorders>
            <w:shd w:val="clear" w:color="auto" w:fill="auto"/>
            <w:noWrap/>
            <w:vAlign w:val="bottom"/>
            <w:hideMark/>
          </w:tcPr>
          <w:p w:rsidRPr="00A909E5" w:rsidR="00A909E5" w:rsidP="00A909E5" w:rsidRDefault="00A909E5" w14:paraId="05CA03A6" w14:textId="77777777">
            <w:pPr>
              <w:spacing w:after="0" w:line="240" w:lineRule="auto"/>
              <w:jc w:val="right"/>
              <w:rPr>
                <w:rFonts w:ascii="Calibri" w:hAnsi="Calibri" w:eastAsia="Times New Roman" w:cs="Times New Roman"/>
                <w:b/>
                <w:bCs/>
                <w:color w:val="000000"/>
                <w:sz w:val="18"/>
                <w:szCs w:val="18"/>
                <w:lang w:eastAsia="zh-CN"/>
              </w:rPr>
            </w:pPr>
            <w:r w:rsidRPr="00A909E5">
              <w:rPr>
                <w:rFonts w:ascii="Calibri" w:hAnsi="Calibri" w:eastAsia="Times New Roman" w:cs="Times New Roman"/>
                <w:b/>
                <w:bCs/>
                <w:color w:val="000000"/>
                <w:sz w:val="18"/>
                <w:szCs w:val="18"/>
                <w:lang w:eastAsia="zh-CN"/>
              </w:rPr>
              <w:t xml:space="preserve">                      801,259 </w:t>
            </w:r>
          </w:p>
        </w:tc>
        <w:tc>
          <w:tcPr>
            <w:tcW w:w="833" w:type="dxa"/>
            <w:tcBorders>
              <w:top w:val="single" w:color="4472C4" w:sz="4" w:space="0"/>
              <w:left w:val="nil"/>
              <w:bottom w:val="nil"/>
              <w:right w:val="nil"/>
            </w:tcBorders>
            <w:shd w:val="clear" w:color="000000" w:fill="FFCCCC"/>
            <w:noWrap/>
            <w:vAlign w:val="bottom"/>
            <w:hideMark/>
          </w:tcPr>
          <w:p w:rsidRPr="00A909E5" w:rsidR="00A909E5" w:rsidP="00A909E5" w:rsidRDefault="00A909E5" w14:paraId="31FAAB75" w14:textId="77777777">
            <w:pPr>
              <w:spacing w:after="0" w:line="240" w:lineRule="auto"/>
              <w:jc w:val="right"/>
              <w:rPr>
                <w:rFonts w:ascii="Calibri" w:hAnsi="Calibri" w:eastAsia="Times New Roman" w:cs="Times New Roman"/>
                <w:color w:val="000000"/>
                <w:sz w:val="18"/>
                <w:szCs w:val="18"/>
                <w:lang w:eastAsia="zh-CN"/>
              </w:rPr>
            </w:pPr>
            <w:r w:rsidRPr="00A909E5">
              <w:rPr>
                <w:rFonts w:ascii="Calibri" w:hAnsi="Calibri" w:eastAsia="Times New Roman" w:cs="Times New Roman"/>
                <w:color w:val="000000"/>
                <w:sz w:val="18"/>
                <w:szCs w:val="18"/>
                <w:lang w:eastAsia="zh-CN"/>
              </w:rPr>
              <w:t>105%</w:t>
            </w:r>
          </w:p>
        </w:tc>
        <w:tc>
          <w:tcPr>
            <w:tcW w:w="3496" w:type="dxa"/>
            <w:tcBorders>
              <w:top w:val="single" w:color="4472C4" w:sz="4" w:space="0"/>
              <w:left w:val="nil"/>
              <w:bottom w:val="single" w:color="4472C4" w:sz="4" w:space="0"/>
              <w:right w:val="single" w:color="4472C4" w:sz="4" w:space="0"/>
            </w:tcBorders>
            <w:shd w:val="clear" w:color="auto" w:fill="auto"/>
            <w:vAlign w:val="bottom"/>
            <w:hideMark/>
          </w:tcPr>
          <w:p w:rsidRPr="00A909E5" w:rsidR="00A909E5" w:rsidP="00A909E5" w:rsidRDefault="00A909E5" w14:paraId="78906B29"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A909E5">
              <w:rPr>
                <w:rFonts w:ascii="Calibri" w:hAnsi="Calibri" w:eastAsia="Times New Roman" w:cs="Times New Roman"/>
                <w:color w:val="000000"/>
                <w:sz w:val="18"/>
                <w:szCs w:val="18"/>
                <w:lang w:eastAsia="zh-CN"/>
              </w:rPr>
              <w:t>Aleppo;Idleb</w:t>
            </w:r>
            <w:proofErr w:type="spellEnd"/>
            <w:proofErr w:type="gramEnd"/>
          </w:p>
        </w:tc>
      </w:tr>
    </w:tbl>
    <w:p w:rsidR="00FE16C5" w:rsidP="00E155B4" w:rsidRDefault="00177455" w14:paraId="3D6103AD" w14:textId="30BF3BAB">
      <w:pPr>
        <w:spacing w:after="0" w:line="240" w:lineRule="auto"/>
        <w:jc w:val="center"/>
        <w:rPr>
          <w:rFonts w:asciiTheme="majorHAnsi" w:hAnsiTheme="majorHAnsi" w:cstheme="majorBidi"/>
          <w:b/>
          <w:sz w:val="24"/>
          <w:szCs w:val="24"/>
        </w:rPr>
      </w:pPr>
      <w:r>
        <w:rPr>
          <w:rFonts w:asciiTheme="majorHAnsi" w:hAnsiTheme="majorHAnsi" w:cstheme="majorBidi"/>
          <w:b/>
          <w:sz w:val="24"/>
          <w:szCs w:val="24"/>
        </w:rPr>
        <w:br w:type="page"/>
      </w:r>
    </w:p>
    <w:p w:rsidRPr="00DF56B6" w:rsidR="00E155B4" w:rsidP="00E155B4" w:rsidRDefault="00E155B4" w14:paraId="1834BA3A" w14:textId="0BE2B48D">
      <w:pPr>
        <w:spacing w:after="0" w:line="240" w:lineRule="auto"/>
        <w:jc w:val="center"/>
        <w:rPr>
          <w:rFonts w:asciiTheme="majorHAnsi" w:hAnsiTheme="majorHAnsi" w:cstheme="majorHAnsi"/>
          <w:b/>
          <w:sz w:val="24"/>
          <w:szCs w:val="24"/>
        </w:rPr>
      </w:pPr>
      <w:r w:rsidRPr="00DF56B6">
        <w:rPr>
          <w:rFonts w:asciiTheme="majorHAnsi" w:hAnsiTheme="majorHAnsi" w:cstheme="majorHAnsi"/>
          <w:b/>
          <w:sz w:val="24"/>
          <w:szCs w:val="24"/>
        </w:rPr>
        <w:t>Shelter and Non-Food Items</w:t>
      </w:r>
    </w:p>
    <w:p w:rsidR="00D52588" w:rsidP="00C22FD7" w:rsidRDefault="00D52588" w14:paraId="5EF2D7AA" w14:textId="77777777">
      <w:pPr>
        <w:spacing w:after="0" w:line="240" w:lineRule="auto"/>
        <w:rPr>
          <w:rFonts w:asciiTheme="majorHAnsi" w:hAnsiTheme="majorHAnsi" w:cstheme="majorHAnsi"/>
          <w:b/>
          <w:sz w:val="24"/>
          <w:szCs w:val="24"/>
        </w:rPr>
      </w:pPr>
    </w:p>
    <w:p w:rsidRPr="00D52588" w:rsidR="00C22FD7" w:rsidP="00C22FD7" w:rsidRDefault="00C22FD7" w14:paraId="576BEC86" w14:textId="68FF5723">
      <w:pPr>
        <w:spacing w:after="0" w:line="240" w:lineRule="auto"/>
        <w:rPr>
          <w:rFonts w:asciiTheme="majorHAnsi" w:hAnsiTheme="majorHAnsi" w:cstheme="majorHAnsi"/>
          <w:b/>
          <w:sz w:val="20"/>
          <w:szCs w:val="20"/>
        </w:rPr>
      </w:pPr>
      <w:r w:rsidRPr="00D52588">
        <w:rPr>
          <w:rFonts w:asciiTheme="majorHAnsi" w:hAnsiTheme="majorHAnsi" w:cstheme="majorHAnsi"/>
          <w:b/>
          <w:sz w:val="20"/>
          <w:szCs w:val="20"/>
        </w:rPr>
        <w:t xml:space="preserve">Name of Coordinators: </w:t>
      </w:r>
      <w:r w:rsidRPr="00D52588" w:rsidR="00BF7A65">
        <w:rPr>
          <w:rFonts w:asciiTheme="majorHAnsi" w:hAnsiTheme="majorHAnsi" w:cstheme="majorHAnsi"/>
          <w:bCs/>
          <w:sz w:val="20"/>
          <w:szCs w:val="20"/>
        </w:rPr>
        <w:t>Marguerite Nowak</w:t>
      </w:r>
      <w:r w:rsidR="00A31F3C">
        <w:rPr>
          <w:rFonts w:asciiTheme="majorHAnsi" w:hAnsiTheme="majorHAnsi" w:cstheme="majorHAnsi"/>
          <w:bCs/>
          <w:sz w:val="20"/>
          <w:szCs w:val="20"/>
        </w:rPr>
        <w:t>/UNHCR</w:t>
      </w:r>
      <w:r w:rsidRPr="00D52588" w:rsidR="00D52588">
        <w:rPr>
          <w:rFonts w:asciiTheme="majorHAnsi" w:hAnsiTheme="majorHAnsi" w:cstheme="majorHAnsi"/>
          <w:bCs/>
          <w:sz w:val="20"/>
          <w:szCs w:val="20"/>
        </w:rPr>
        <w:t xml:space="preserve"> and </w:t>
      </w:r>
      <w:r w:rsidRPr="00D52588" w:rsidR="00DF56B6">
        <w:rPr>
          <w:rFonts w:asciiTheme="majorHAnsi" w:hAnsiTheme="majorHAnsi" w:cstheme="majorHAnsi"/>
          <w:bCs/>
          <w:sz w:val="20"/>
          <w:szCs w:val="20"/>
        </w:rPr>
        <w:t>Mais Al-</w:t>
      </w:r>
      <w:proofErr w:type="spellStart"/>
      <w:r w:rsidRPr="00D52588" w:rsidR="00DF56B6">
        <w:rPr>
          <w:rFonts w:asciiTheme="majorHAnsi" w:hAnsiTheme="majorHAnsi" w:cstheme="majorHAnsi"/>
          <w:bCs/>
          <w:sz w:val="20"/>
          <w:szCs w:val="20"/>
        </w:rPr>
        <w:t>Suradi</w:t>
      </w:r>
      <w:proofErr w:type="spellEnd"/>
      <w:r w:rsidRPr="00A31F3C" w:rsidR="00A31F3C">
        <w:rPr>
          <w:rFonts w:asciiTheme="majorHAnsi" w:hAnsiTheme="majorHAnsi" w:cstheme="majorHAnsi"/>
          <w:bCs/>
          <w:sz w:val="20"/>
          <w:szCs w:val="20"/>
        </w:rPr>
        <w:t>/UNHCR</w:t>
      </w:r>
    </w:p>
    <w:p w:rsidRPr="002011E6" w:rsidR="00E155B4" w:rsidP="00E155B4" w:rsidRDefault="00E155B4" w14:paraId="23794BB6" w14:textId="77777777">
      <w:pPr>
        <w:spacing w:after="0" w:line="240" w:lineRule="auto"/>
        <w:jc w:val="center"/>
        <w:rPr>
          <w:rFonts w:asciiTheme="majorHAnsi" w:hAnsiTheme="majorHAnsi" w:cstheme="majorHAnsi"/>
          <w:b/>
          <w:sz w:val="20"/>
          <w:szCs w:val="20"/>
        </w:rPr>
      </w:pPr>
    </w:p>
    <w:p w:rsidRPr="00D52588" w:rsidR="00E155B4" w:rsidP="00EA1163" w:rsidRDefault="00E155B4" w14:paraId="0116B319" w14:textId="77777777">
      <w:pPr>
        <w:pBdr>
          <w:top w:val="single" w:color="auto" w:sz="4" w:space="1"/>
          <w:left w:val="single" w:color="auto" w:sz="4" w:space="4"/>
          <w:bottom w:val="single" w:color="auto" w:sz="4" w:space="1"/>
          <w:right w:val="single" w:color="auto" w:sz="4" w:space="4"/>
        </w:pBdr>
        <w:spacing w:line="240" w:lineRule="auto"/>
        <w:jc w:val="center"/>
        <w:rPr>
          <w:b/>
          <w:bCs/>
          <w:color w:val="2F5496" w:themeColor="accent1" w:themeShade="BF"/>
          <w:sz w:val="20"/>
          <w:szCs w:val="20"/>
        </w:rPr>
      </w:pPr>
      <w:r w:rsidRPr="00D52588">
        <w:rPr>
          <w:b/>
          <w:bCs/>
          <w:color w:val="2F5496" w:themeColor="accent1" w:themeShade="BF"/>
          <w:sz w:val="20"/>
          <w:szCs w:val="20"/>
          <w:highlight w:val="yellow"/>
        </w:rPr>
        <w:t>Suggested points to raise</w:t>
      </w:r>
    </w:p>
    <w:p w:rsidR="00D52588" w:rsidP="00D52588" w:rsidRDefault="00D52588" w14:paraId="5886ADE4" w14:textId="66756C12">
      <w:pPr>
        <w:pStyle w:val="ListParagraph"/>
        <w:numPr>
          <w:ilvl w:val="0"/>
          <w:numId w:val="21"/>
        </w:numPr>
        <w:pBdr>
          <w:top w:val="single" w:color="auto" w:sz="4" w:space="1"/>
          <w:left w:val="single" w:color="auto" w:sz="4" w:space="4"/>
          <w:bottom w:val="single" w:color="auto" w:sz="4" w:space="1"/>
          <w:right w:val="single" w:color="auto" w:sz="4" w:space="4"/>
        </w:pBdr>
        <w:spacing w:after="120"/>
        <w:jc w:val="both"/>
        <w:rPr>
          <w:rFonts w:asciiTheme="minorHAnsi" w:hAnsiTheme="minorHAnsi" w:cstheme="minorHAnsi"/>
          <w:b/>
          <w:bCs/>
          <w:color w:val="2F5496" w:themeColor="accent1" w:themeShade="BF"/>
        </w:rPr>
      </w:pPr>
      <w:r w:rsidRPr="00D52588">
        <w:rPr>
          <w:rFonts w:asciiTheme="minorHAnsi" w:hAnsiTheme="minorHAnsi" w:cstheme="minorHAnsi"/>
          <w:b/>
          <w:bCs/>
          <w:color w:val="2F5496" w:themeColor="accent1" w:themeShade="BF"/>
        </w:rPr>
        <w:t xml:space="preserve">Significant shelter and NFI needs, including by the IDP and returnee population, appear to be well-documented. </w:t>
      </w:r>
      <w:r w:rsidR="00A31F3C">
        <w:rPr>
          <w:rFonts w:asciiTheme="minorHAnsi" w:hAnsiTheme="minorHAnsi" w:cstheme="minorHAnsi"/>
          <w:b/>
          <w:bCs/>
          <w:color w:val="2F5496" w:themeColor="accent1" w:themeShade="BF"/>
        </w:rPr>
        <w:t>At the same time,</w:t>
      </w:r>
      <w:r w:rsidRPr="00D52588">
        <w:rPr>
          <w:rFonts w:asciiTheme="minorHAnsi" w:hAnsiTheme="minorHAnsi" w:cstheme="minorHAnsi"/>
          <w:b/>
          <w:bCs/>
          <w:color w:val="2F5496" w:themeColor="accent1" w:themeShade="BF"/>
        </w:rPr>
        <w:t xml:space="preserve"> </w:t>
      </w:r>
      <w:r>
        <w:rPr>
          <w:rFonts w:asciiTheme="minorHAnsi" w:hAnsiTheme="minorHAnsi" w:cstheme="minorHAnsi"/>
          <w:b/>
          <w:bCs/>
          <w:color w:val="2F5496" w:themeColor="accent1" w:themeShade="BF"/>
        </w:rPr>
        <w:t xml:space="preserve">the </w:t>
      </w:r>
      <w:r w:rsidRPr="00D52588">
        <w:rPr>
          <w:rFonts w:asciiTheme="minorHAnsi" w:hAnsiTheme="minorHAnsi" w:cstheme="minorHAnsi"/>
          <w:b/>
          <w:bCs/>
          <w:color w:val="2F5496" w:themeColor="accent1" w:themeShade="BF"/>
        </w:rPr>
        <w:t xml:space="preserve">S/NFI sector was one of the least well-funded sectors in 2020 (13% coverage). </w:t>
      </w:r>
      <w:r w:rsidRPr="002705B2">
        <w:rPr>
          <w:rFonts w:asciiTheme="minorHAnsi" w:hAnsiTheme="minorHAnsi" w:cstheme="minorHAnsi"/>
          <w:b/>
          <w:bCs/>
          <w:color w:val="2F5496" w:themeColor="accent1" w:themeShade="BF"/>
        </w:rPr>
        <w:t xml:space="preserve">In terms of strengthened advocacy and resource mobilization with donors, what </w:t>
      </w:r>
      <w:r>
        <w:rPr>
          <w:rFonts w:asciiTheme="minorHAnsi" w:hAnsiTheme="minorHAnsi" w:cstheme="minorHAnsi"/>
          <w:b/>
          <w:bCs/>
          <w:color w:val="2F5496" w:themeColor="accent1" w:themeShade="BF"/>
        </w:rPr>
        <w:t>may</w:t>
      </w:r>
      <w:r w:rsidRPr="002705B2">
        <w:rPr>
          <w:rFonts w:asciiTheme="minorHAnsi" w:hAnsiTheme="minorHAnsi" w:cstheme="minorHAnsi"/>
          <w:b/>
          <w:bCs/>
          <w:color w:val="2F5496" w:themeColor="accent1" w:themeShade="BF"/>
        </w:rPr>
        <w:t xml:space="preserve"> we not </w:t>
      </w:r>
      <w:r>
        <w:rPr>
          <w:rFonts w:asciiTheme="minorHAnsi" w:hAnsiTheme="minorHAnsi" w:cstheme="minorHAnsi"/>
          <w:b/>
          <w:bCs/>
          <w:color w:val="2F5496" w:themeColor="accent1" w:themeShade="BF"/>
        </w:rPr>
        <w:t xml:space="preserve">be </w:t>
      </w:r>
      <w:r w:rsidRPr="002705B2">
        <w:rPr>
          <w:rFonts w:asciiTheme="minorHAnsi" w:hAnsiTheme="minorHAnsi" w:cstheme="minorHAnsi"/>
          <w:b/>
          <w:bCs/>
          <w:color w:val="2F5496" w:themeColor="accent1" w:themeShade="BF"/>
        </w:rPr>
        <w:t>doing well enough, and what should we do differently in your view?</w:t>
      </w:r>
    </w:p>
    <w:p w:rsidRPr="00D52588" w:rsidR="00D52588" w:rsidP="00D52588" w:rsidRDefault="00D52588" w14:paraId="07298B04" w14:textId="790461E4">
      <w:pPr>
        <w:pStyle w:val="ListParagraph"/>
        <w:numPr>
          <w:ilvl w:val="0"/>
          <w:numId w:val="21"/>
        </w:numPr>
        <w:pBdr>
          <w:top w:val="single" w:color="auto" w:sz="4" w:space="1"/>
          <w:left w:val="single" w:color="auto" w:sz="4" w:space="4"/>
          <w:bottom w:val="single" w:color="auto" w:sz="4" w:space="1"/>
          <w:right w:val="single" w:color="auto" w:sz="4" w:space="4"/>
        </w:pBdr>
        <w:spacing w:after="120"/>
        <w:jc w:val="both"/>
        <w:rPr>
          <w:rFonts w:cstheme="minorHAnsi"/>
          <w:b/>
          <w:bCs/>
          <w:color w:val="2F5496" w:themeColor="accent1" w:themeShade="BF"/>
        </w:rPr>
      </w:pPr>
      <w:r>
        <w:rPr>
          <w:rFonts w:cstheme="minorHAnsi"/>
          <w:b/>
          <w:bCs/>
          <w:color w:val="2F5496" w:themeColor="accent1" w:themeShade="BF"/>
        </w:rPr>
        <w:t>As far as winter</w:t>
      </w:r>
      <w:r w:rsidR="000B08E5">
        <w:rPr>
          <w:rFonts w:cstheme="minorHAnsi"/>
          <w:b/>
          <w:bCs/>
          <w:color w:val="2F5496" w:themeColor="accent1" w:themeShade="BF"/>
        </w:rPr>
        <w:t>ization</w:t>
      </w:r>
      <w:r>
        <w:rPr>
          <w:rFonts w:cstheme="minorHAnsi"/>
          <w:b/>
          <w:bCs/>
          <w:color w:val="2F5496" w:themeColor="accent1" w:themeShade="BF"/>
        </w:rPr>
        <w:t xml:space="preserve"> </w:t>
      </w:r>
      <w:proofErr w:type="gramStart"/>
      <w:r>
        <w:rPr>
          <w:rFonts w:cstheme="minorHAnsi"/>
          <w:b/>
          <w:bCs/>
          <w:color w:val="2F5496" w:themeColor="accent1" w:themeShade="BF"/>
        </w:rPr>
        <w:t>response in particular, what</w:t>
      </w:r>
      <w:proofErr w:type="gramEnd"/>
      <w:r>
        <w:rPr>
          <w:rFonts w:cstheme="minorHAnsi"/>
          <w:b/>
          <w:bCs/>
          <w:color w:val="2F5496" w:themeColor="accent1" w:themeShade="BF"/>
        </w:rPr>
        <w:t xml:space="preserve"> are some </w:t>
      </w:r>
      <w:r w:rsidR="000B08E5">
        <w:rPr>
          <w:rFonts w:cstheme="minorHAnsi"/>
          <w:b/>
          <w:bCs/>
          <w:color w:val="2F5496" w:themeColor="accent1" w:themeShade="BF"/>
        </w:rPr>
        <w:t>of the</w:t>
      </w:r>
      <w:r>
        <w:rPr>
          <w:rFonts w:cstheme="minorHAnsi"/>
          <w:b/>
          <w:bCs/>
          <w:color w:val="2F5496" w:themeColor="accent1" w:themeShade="BF"/>
        </w:rPr>
        <w:t xml:space="preserve"> lesson</w:t>
      </w:r>
      <w:r w:rsidR="000B08E5">
        <w:rPr>
          <w:rFonts w:cstheme="minorHAnsi"/>
          <w:b/>
          <w:bCs/>
          <w:color w:val="2F5496" w:themeColor="accent1" w:themeShade="BF"/>
        </w:rPr>
        <w:t xml:space="preserve"> learned from previous years? What should we be doing differently, operationally as well as in terms of communication, advocacy and resource mobilization?</w:t>
      </w:r>
    </w:p>
    <w:p w:rsidRPr="00D52588" w:rsidR="000B08E5" w:rsidP="00D1024C" w:rsidRDefault="00F22AB0" w14:paraId="382C5154" w14:textId="7AE91528">
      <w:pPr>
        <w:pStyle w:val="ListParagraph"/>
        <w:numPr>
          <w:ilvl w:val="0"/>
          <w:numId w:val="21"/>
        </w:numPr>
        <w:pBdr>
          <w:top w:val="single" w:color="auto" w:sz="4" w:space="1"/>
          <w:left w:val="single" w:color="auto" w:sz="4" w:space="4"/>
          <w:bottom w:val="single" w:color="auto" w:sz="4" w:space="1"/>
          <w:right w:val="single" w:color="auto" w:sz="4" w:space="4"/>
        </w:pBdr>
        <w:spacing w:after="120"/>
        <w:jc w:val="both"/>
        <w:rPr>
          <w:rFonts w:cstheme="minorHAnsi"/>
          <w:b/>
          <w:bCs/>
          <w:color w:val="2F5496" w:themeColor="accent1" w:themeShade="BF"/>
        </w:rPr>
      </w:pPr>
      <w:r w:rsidRPr="00D1024C">
        <w:rPr>
          <w:rFonts w:cstheme="minorHAnsi"/>
          <w:b/>
          <w:bCs/>
          <w:color w:val="2F5496" w:themeColor="accent1" w:themeShade="BF"/>
        </w:rPr>
        <w:t xml:space="preserve">Can you elaborate </w:t>
      </w:r>
      <w:r w:rsidRPr="00D1024C" w:rsidR="00D1024C">
        <w:rPr>
          <w:rFonts w:cstheme="minorHAnsi"/>
          <w:b/>
          <w:bCs/>
          <w:color w:val="2F5496" w:themeColor="accent1" w:themeShade="BF"/>
        </w:rPr>
        <w:t xml:space="preserve">on </w:t>
      </w:r>
      <w:r w:rsidR="00D1024C">
        <w:rPr>
          <w:rFonts w:cstheme="minorHAnsi"/>
          <w:b/>
          <w:bCs/>
          <w:color w:val="2F5496" w:themeColor="accent1" w:themeShade="BF"/>
        </w:rPr>
        <w:t>what is implied by the</w:t>
      </w:r>
      <w:r w:rsidRPr="00D1024C" w:rsidR="00D1024C">
        <w:rPr>
          <w:rFonts w:cstheme="minorHAnsi"/>
          <w:b/>
          <w:bCs/>
          <w:color w:val="2F5496" w:themeColor="accent1" w:themeShade="BF"/>
        </w:rPr>
        <w:t xml:space="preserve"> “</w:t>
      </w:r>
      <w:r w:rsidRPr="00D1024C">
        <w:rPr>
          <w:rFonts w:cstheme="minorHAnsi"/>
          <w:b/>
          <w:bCs/>
          <w:color w:val="2F5496" w:themeColor="accent1" w:themeShade="BF"/>
        </w:rPr>
        <w:t>shift from the core NFIs to seasonal and supplemental assistance to meet the ongoing gaps related to protracted displacement</w:t>
      </w:r>
      <w:r w:rsidRPr="00D1024C" w:rsidR="00D1024C">
        <w:rPr>
          <w:rFonts w:cstheme="minorHAnsi"/>
          <w:b/>
          <w:bCs/>
          <w:color w:val="2F5496" w:themeColor="accent1" w:themeShade="BF"/>
        </w:rPr>
        <w:t>”</w:t>
      </w:r>
      <w:r w:rsidR="00D1024C">
        <w:rPr>
          <w:rFonts w:cstheme="minorHAnsi"/>
          <w:b/>
          <w:bCs/>
          <w:color w:val="2F5496" w:themeColor="accent1" w:themeShade="BF"/>
        </w:rPr>
        <w:t>?</w:t>
      </w:r>
    </w:p>
    <w:p w:rsidRPr="00A31F3C" w:rsidR="00E155B4" w:rsidP="00A31F3C" w:rsidRDefault="00D1024C" w14:paraId="5EE1829F" w14:textId="47463AC1">
      <w:pPr>
        <w:pStyle w:val="ListParagraph"/>
        <w:numPr>
          <w:ilvl w:val="0"/>
          <w:numId w:val="21"/>
        </w:numPr>
        <w:pBdr>
          <w:top w:val="single" w:color="auto" w:sz="4" w:space="1"/>
          <w:left w:val="single" w:color="auto" w:sz="4" w:space="4"/>
          <w:bottom w:val="single" w:color="auto" w:sz="4" w:space="1"/>
          <w:right w:val="single" w:color="auto" w:sz="4" w:space="4"/>
        </w:pBdr>
        <w:spacing w:after="120"/>
        <w:jc w:val="both"/>
        <w:rPr>
          <w:rFonts w:asciiTheme="minorHAnsi" w:hAnsiTheme="minorHAnsi" w:cstheme="minorHAnsi"/>
          <w:b/>
          <w:bCs/>
          <w:color w:val="2F5496" w:themeColor="accent1" w:themeShade="BF"/>
        </w:rPr>
      </w:pPr>
      <w:r>
        <w:rPr>
          <w:rFonts w:asciiTheme="minorHAnsi" w:hAnsiTheme="minorHAnsi" w:cstheme="minorHAnsi"/>
          <w:b/>
          <w:bCs/>
          <w:color w:val="2F5496" w:themeColor="accent1" w:themeShade="BF"/>
        </w:rPr>
        <w:t>Given the likelihood of incomplete funding in 2021, what coordination efforts with other sectors – e.g. ERL, WASH, Education and Health – are under way to increase the impact of available resources? What are challenges in this regard, what should be strengthened?</w:t>
      </w:r>
    </w:p>
    <w:p w:rsidRPr="002011E6" w:rsidR="00E155B4" w:rsidP="00E155B4" w:rsidRDefault="00E155B4" w14:paraId="39D90741" w14:textId="77777777">
      <w:pPr>
        <w:spacing w:after="0" w:line="240" w:lineRule="auto"/>
        <w:jc w:val="center"/>
        <w:rPr>
          <w:rFonts w:asciiTheme="majorHAnsi" w:hAnsiTheme="majorHAnsi" w:cstheme="majorHAnsi"/>
          <w:b/>
          <w:sz w:val="20"/>
          <w:szCs w:val="20"/>
        </w:rPr>
      </w:pPr>
    </w:p>
    <w:p w:rsidRPr="005755AB" w:rsidR="00E155B4" w:rsidP="00E155B4" w:rsidRDefault="00E155B4" w14:paraId="55F82DB1" w14:textId="77777777">
      <w:pPr>
        <w:numPr>
          <w:ilvl w:val="0"/>
          <w:numId w:val="37"/>
        </w:numPr>
        <w:pBdr>
          <w:top w:val="nil"/>
          <w:left w:val="nil"/>
          <w:bottom w:val="nil"/>
          <w:right w:val="nil"/>
          <w:between w:val="nil"/>
        </w:pBdr>
        <w:spacing w:after="0" w:line="240" w:lineRule="auto"/>
        <w:rPr>
          <w:rFonts w:cstheme="minorHAnsi"/>
          <w:b/>
          <w:sz w:val="20"/>
          <w:szCs w:val="20"/>
        </w:rPr>
      </w:pPr>
      <w:r w:rsidRPr="005755AB">
        <w:rPr>
          <w:rFonts w:cstheme="minorHAnsi"/>
          <w:b/>
          <w:sz w:val="20"/>
          <w:szCs w:val="20"/>
        </w:rPr>
        <w:t>2021 Key figures</w:t>
      </w:r>
    </w:p>
    <w:tbl>
      <w:tblPr>
        <w:tblStyle w:val="PlainTable4"/>
        <w:tblW w:w="944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5"/>
        <w:gridCol w:w="1008"/>
        <w:gridCol w:w="965"/>
        <w:gridCol w:w="1330"/>
        <w:gridCol w:w="1098"/>
        <w:gridCol w:w="977"/>
        <w:gridCol w:w="22"/>
        <w:gridCol w:w="953"/>
        <w:gridCol w:w="2477"/>
      </w:tblGrid>
      <w:tr w:rsidR="00E155B4" w:rsidTr="00574667" w14:paraId="045FFF8B" w14:textId="77777777">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615" w:type="dxa"/>
          </w:tcPr>
          <w:p w:rsidRPr="00A34A00" w:rsidR="00345BCB" w:rsidP="003A253C" w:rsidRDefault="00C46898" w14:paraId="79AAFEF2" w14:textId="55A89F3E">
            <w:r w:rsidRPr="002011E6" w:rsidDel="00B64133">
              <w:rPr>
                <w:rFonts w:asciiTheme="majorHAnsi" w:hAnsiTheme="majorHAnsi" w:cstheme="majorHAnsi"/>
                <w:sz w:val="20"/>
                <w:szCs w:val="20"/>
                <w:highlight w:val="yellow"/>
              </w:rPr>
              <w:t xml:space="preserve"> </w:t>
            </w:r>
          </w:p>
        </w:tc>
        <w:tc>
          <w:tcPr>
            <w:tcW w:w="2150" w:type="dxa"/>
            <w:gridSpan w:val="2"/>
          </w:tcPr>
          <w:p w:rsidR="00345BCB" w:rsidP="00A34A00" w:rsidRDefault="00E155B4" w14:paraId="25346F60" w14:textId="2FD78235">
            <w:pPr>
              <w:jc w:val="center"/>
              <w:cnfStyle w:val="100000000000" w:firstRow="1" w:lastRow="0" w:firstColumn="0" w:lastColumn="0" w:oddVBand="0" w:evenVBand="0" w:oddHBand="0" w:evenHBand="0" w:firstRowFirstColumn="0" w:firstRowLastColumn="0" w:lastRowFirstColumn="0" w:lastRowLastColumn="0"/>
              <w:rPr>
                <w:b w:val="0"/>
                <w:bCs w:val="0"/>
              </w:rPr>
            </w:pPr>
            <w:r w:rsidRPr="00A34A00">
              <w:t>People in Need</w:t>
            </w:r>
          </w:p>
          <w:p w:rsidRPr="00A34A00" w:rsidR="00E155B4" w:rsidP="00F65D91" w:rsidRDefault="00E155B4" w14:paraId="70834CBF" w14:textId="31283994">
            <w:pPr>
              <w:jc w:val="center"/>
              <w:cnfStyle w:val="100000000000" w:firstRow="1" w:lastRow="0" w:firstColumn="0" w:lastColumn="0" w:oddVBand="0" w:evenVBand="0" w:oddHBand="0" w:evenHBand="0" w:firstRowFirstColumn="0" w:firstRowLastColumn="0" w:lastRowFirstColumn="0" w:lastRowLastColumn="0"/>
            </w:pPr>
          </w:p>
        </w:tc>
        <w:tc>
          <w:tcPr>
            <w:tcW w:w="2154" w:type="dxa"/>
            <w:gridSpan w:val="2"/>
          </w:tcPr>
          <w:p w:rsidRPr="00A34A00" w:rsidR="00E155B4" w:rsidP="00191CB2" w:rsidRDefault="00E155B4" w14:paraId="78243E5C" w14:textId="77777777">
            <w:pPr>
              <w:pStyle w:val="ListParagraph"/>
              <w:jc w:val="center"/>
              <w:cnfStyle w:val="100000000000" w:firstRow="1" w:lastRow="0" w:firstColumn="0" w:lastColumn="0" w:oddVBand="0" w:evenVBand="0" w:oddHBand="0" w:evenHBand="0" w:firstRowFirstColumn="0" w:firstRowLastColumn="0" w:lastRowFirstColumn="0" w:lastRowLastColumn="0"/>
            </w:pPr>
            <w:r w:rsidRPr="00A34A00">
              <w:t>Target</w:t>
            </w:r>
          </w:p>
        </w:tc>
        <w:tc>
          <w:tcPr>
            <w:tcW w:w="1001" w:type="dxa"/>
            <w:gridSpan w:val="2"/>
          </w:tcPr>
          <w:p w:rsidRPr="00A34A00" w:rsidR="00E155B4" w:rsidP="00191CB2" w:rsidRDefault="00E155B4" w14:paraId="21793CBF" w14:textId="77777777">
            <w:pPr>
              <w:pStyle w:val="ListParagraph"/>
              <w:ind w:left="0"/>
              <w:cnfStyle w:val="100000000000" w:firstRow="1" w:lastRow="0" w:firstColumn="0" w:lastColumn="0" w:oddVBand="0" w:evenVBand="0" w:oddHBand="0" w:evenHBand="0" w:firstRowFirstColumn="0" w:firstRowLastColumn="0" w:lastRowFirstColumn="0" w:lastRowLastColumn="0"/>
            </w:pPr>
            <w:r w:rsidRPr="00A34A00">
              <w:t xml:space="preserve">Partners </w:t>
            </w:r>
          </w:p>
        </w:tc>
        <w:tc>
          <w:tcPr>
            <w:tcW w:w="953" w:type="dxa"/>
          </w:tcPr>
          <w:p w:rsidRPr="00A34A00" w:rsidR="00E155B4" w:rsidP="00191CB2" w:rsidRDefault="00E155B4" w14:paraId="431C1F76" w14:textId="77777777">
            <w:pPr>
              <w:pStyle w:val="ListParagraph"/>
              <w:ind w:left="0"/>
              <w:cnfStyle w:val="100000000000" w:firstRow="1" w:lastRow="0" w:firstColumn="0" w:lastColumn="0" w:oddVBand="0" w:evenVBand="0" w:oddHBand="0" w:evenHBand="0" w:firstRowFirstColumn="0" w:firstRowLastColumn="0" w:lastRowFirstColumn="0" w:lastRowLastColumn="0"/>
            </w:pPr>
            <w:r w:rsidRPr="00A34A00">
              <w:t xml:space="preserve">Projects </w:t>
            </w:r>
          </w:p>
        </w:tc>
        <w:tc>
          <w:tcPr>
            <w:tcW w:w="2572" w:type="dxa"/>
          </w:tcPr>
          <w:p w:rsidRPr="00A34A00" w:rsidR="00E155B4" w:rsidP="00191CB2" w:rsidRDefault="006A539E" w14:paraId="28EFD4ED" w14:textId="3065C512">
            <w:pPr>
              <w:pStyle w:val="ListParagraph"/>
              <w:jc w:val="center"/>
              <w:cnfStyle w:val="100000000000" w:firstRow="1" w:lastRow="0" w:firstColumn="0" w:lastColumn="0" w:oddVBand="0" w:evenVBand="0" w:oddHBand="0" w:evenHBand="0" w:firstRowFirstColumn="0" w:firstRowLastColumn="0" w:lastRowFirstColumn="0" w:lastRowLastColumn="0"/>
            </w:pPr>
            <w:r>
              <w:t xml:space="preserve">Total </w:t>
            </w:r>
            <w:r w:rsidR="0036793B">
              <w:t xml:space="preserve">Sector </w:t>
            </w:r>
            <w:r w:rsidRPr="00A34A00" w:rsidR="00E155B4">
              <w:t>Funding requirements</w:t>
            </w:r>
          </w:p>
          <w:p w:rsidRPr="00A34A00" w:rsidR="00E155B4" w:rsidP="00191CB2" w:rsidRDefault="00E155B4" w14:paraId="13C84086" w14:textId="77777777">
            <w:pPr>
              <w:pStyle w:val="ListParagraph"/>
              <w:jc w:val="center"/>
              <w:cnfStyle w:val="100000000000" w:firstRow="1" w:lastRow="0" w:firstColumn="0" w:lastColumn="0" w:oddVBand="0" w:evenVBand="0" w:oddHBand="0" w:evenHBand="0" w:firstRowFirstColumn="0" w:firstRowLastColumn="0" w:lastRowFirstColumn="0" w:lastRowLastColumn="0"/>
            </w:pPr>
          </w:p>
        </w:tc>
      </w:tr>
      <w:tr w:rsidR="00543DDD" w:rsidTr="00574667" w14:paraId="1B2BAEFA"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15" w:type="dxa"/>
            <w:vMerge w:val="restart"/>
          </w:tcPr>
          <w:p w:rsidR="006403CD" w:rsidP="00B22006" w:rsidRDefault="006403CD" w14:paraId="137B2309" w14:textId="366F7C35">
            <w:pPr>
              <w:pStyle w:val="ListParagraph"/>
              <w:ind w:left="0"/>
              <w:rPr>
                <w:i/>
                <w:iCs/>
                <w:sz w:val="14"/>
                <w:szCs w:val="14"/>
              </w:rPr>
            </w:pPr>
            <w:r>
              <w:rPr>
                <w:i/>
                <w:iCs/>
                <w:sz w:val="14"/>
                <w:szCs w:val="14"/>
              </w:rPr>
              <w:t>shelter</w:t>
            </w:r>
          </w:p>
        </w:tc>
        <w:tc>
          <w:tcPr>
            <w:tcW w:w="1109" w:type="dxa"/>
          </w:tcPr>
          <w:p w:rsidRPr="005374CC" w:rsidR="00E155B4" w:rsidP="00191CB2" w:rsidRDefault="00E155B4" w14:paraId="71DB2713" w14:textId="16D56472">
            <w:pPr>
              <w:pStyle w:val="ListParagraph"/>
              <w:ind w:left="0"/>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In million</w:t>
            </w:r>
          </w:p>
        </w:tc>
        <w:tc>
          <w:tcPr>
            <w:tcW w:w="1041" w:type="dxa"/>
          </w:tcPr>
          <w:p w:rsidRPr="005374CC" w:rsidR="00E155B4" w:rsidP="00191CB2" w:rsidRDefault="00E155B4" w14:paraId="7F76EADA" w14:textId="77777777">
            <w:pPr>
              <w:pStyle w:val="ListParagraph"/>
              <w:ind w:left="0"/>
              <w:cnfStyle w:val="000000100000" w:firstRow="0" w:lastRow="0" w:firstColumn="0" w:lastColumn="0" w:oddVBand="0" w:evenVBand="0" w:oddHBand="1" w:evenHBand="0" w:firstRowFirstColumn="0" w:firstRowLastColumn="0" w:lastRowFirstColumn="0" w:lastRowLastColumn="0"/>
              <w:rPr>
                <w:i/>
                <w:iCs/>
                <w:sz w:val="14"/>
                <w:szCs w:val="14"/>
              </w:rPr>
            </w:pPr>
            <w:r w:rsidRPr="005374CC">
              <w:rPr>
                <w:i/>
                <w:iCs/>
                <w:sz w:val="14"/>
                <w:szCs w:val="14"/>
              </w:rPr>
              <w:t>% variation in 2020</w:t>
            </w:r>
          </w:p>
        </w:tc>
        <w:tc>
          <w:tcPr>
            <w:tcW w:w="1044" w:type="dxa"/>
          </w:tcPr>
          <w:p w:rsidRPr="005374CC" w:rsidR="00E155B4" w:rsidP="00191CB2" w:rsidRDefault="00E155B4" w14:paraId="101C9D37" w14:textId="77777777">
            <w:pPr>
              <w:pStyle w:val="ListParagraph"/>
              <w:ind w:left="0"/>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In million</w:t>
            </w:r>
          </w:p>
        </w:tc>
        <w:tc>
          <w:tcPr>
            <w:tcW w:w="1110" w:type="dxa"/>
          </w:tcPr>
          <w:p w:rsidRPr="005374CC" w:rsidR="00E155B4" w:rsidP="00191CB2" w:rsidRDefault="00E155B4" w14:paraId="34C80FBD" w14:textId="77777777">
            <w:pPr>
              <w:pStyle w:val="ListParagraph"/>
              <w:ind w:left="0"/>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1001" w:type="dxa"/>
            <w:gridSpan w:val="2"/>
            <w:vMerge w:val="restart"/>
          </w:tcPr>
          <w:p w:rsidR="00E155B4" w:rsidP="00191CB2" w:rsidRDefault="00E155B4" w14:paraId="7A108772" w14:textId="77777777">
            <w:pPr>
              <w:pStyle w:val="ListParagraph"/>
              <w:cnfStyle w:val="000000100000" w:firstRow="0" w:lastRow="0" w:firstColumn="0" w:lastColumn="0" w:oddVBand="0" w:evenVBand="0" w:oddHBand="1" w:evenHBand="0" w:firstRowFirstColumn="0" w:firstRowLastColumn="0" w:lastRowFirstColumn="0" w:lastRowLastColumn="0"/>
              <w:rPr>
                <w:b/>
                <w:bCs/>
              </w:rPr>
            </w:pPr>
          </w:p>
          <w:p w:rsidRPr="002011E6" w:rsidR="00E155B4" w:rsidP="00191CB2" w:rsidRDefault="00E155B4" w14:paraId="67290CAF" w14:textId="77777777">
            <w:pPr>
              <w:cnfStyle w:val="000000100000" w:firstRow="0" w:lastRow="0" w:firstColumn="0" w:lastColumn="0" w:oddVBand="0" w:evenVBand="0" w:oddHBand="1" w:evenHBand="0" w:firstRowFirstColumn="0" w:firstRowLastColumn="0" w:lastRowFirstColumn="0" w:lastRowLastColumn="0"/>
              <w:rPr>
                <w:b/>
                <w:bCs/>
              </w:rPr>
            </w:pPr>
            <w:r w:rsidRPr="002011E6">
              <w:rPr>
                <w:b/>
                <w:bCs/>
              </w:rPr>
              <w:t>45</w:t>
            </w:r>
            <w:r w:rsidRPr="00C104D7">
              <w:rPr>
                <w:sz w:val="18"/>
                <w:szCs w:val="18"/>
              </w:rPr>
              <w:t>(-1)</w:t>
            </w:r>
          </w:p>
        </w:tc>
        <w:tc>
          <w:tcPr>
            <w:tcW w:w="953" w:type="dxa"/>
            <w:vMerge w:val="restart"/>
          </w:tcPr>
          <w:p w:rsidR="00E155B4" w:rsidP="00191CB2" w:rsidRDefault="00E155B4" w14:paraId="2CD8818C" w14:textId="77777777">
            <w:pPr>
              <w:pStyle w:val="ListParagraph"/>
              <w:jc w:val="center"/>
              <w:cnfStyle w:val="000000100000" w:firstRow="0" w:lastRow="0" w:firstColumn="0" w:lastColumn="0" w:oddVBand="0" w:evenVBand="0" w:oddHBand="1" w:evenHBand="0" w:firstRowFirstColumn="0" w:firstRowLastColumn="0" w:lastRowFirstColumn="0" w:lastRowLastColumn="0"/>
              <w:rPr>
                <w:b/>
                <w:bCs/>
              </w:rPr>
            </w:pPr>
          </w:p>
          <w:p w:rsidRPr="002011E6" w:rsidR="00E155B4" w:rsidP="00191CB2" w:rsidRDefault="00E155B4" w14:paraId="08EEA7E3" w14:textId="77777777">
            <w:pPr>
              <w:cnfStyle w:val="000000100000" w:firstRow="0" w:lastRow="0" w:firstColumn="0" w:lastColumn="0" w:oddVBand="0" w:evenVBand="0" w:oddHBand="1" w:evenHBand="0" w:firstRowFirstColumn="0" w:firstRowLastColumn="0" w:lastRowFirstColumn="0" w:lastRowLastColumn="0"/>
              <w:rPr>
                <w:b/>
                <w:bCs/>
              </w:rPr>
            </w:pPr>
            <w:r w:rsidRPr="002011E6">
              <w:rPr>
                <w:b/>
                <w:bCs/>
              </w:rPr>
              <w:t>45</w:t>
            </w:r>
            <w:r w:rsidRPr="00C104D7">
              <w:rPr>
                <w:sz w:val="18"/>
                <w:szCs w:val="18"/>
              </w:rPr>
              <w:t>(-5)</w:t>
            </w:r>
          </w:p>
        </w:tc>
        <w:tc>
          <w:tcPr>
            <w:tcW w:w="2572" w:type="dxa"/>
            <w:vMerge w:val="restart"/>
            <w:shd w:val="clear" w:color="auto" w:fill="E7E6E6" w:themeFill="background2"/>
          </w:tcPr>
          <w:p w:rsidRPr="00972002" w:rsidR="00E155B4" w:rsidP="00191CB2" w:rsidRDefault="00E155B4" w14:paraId="37F409BE" w14:textId="714500DE">
            <w:pPr>
              <w:pStyle w:val="ListParagraph"/>
              <w:jc w:val="center"/>
              <w:cnfStyle w:val="000000100000" w:firstRow="0" w:lastRow="0" w:firstColumn="0" w:lastColumn="0" w:oddVBand="0" w:evenVBand="0" w:oddHBand="1" w:evenHBand="0" w:firstRowFirstColumn="0" w:firstRowLastColumn="0" w:lastRowFirstColumn="0" w:lastRowLastColumn="0"/>
              <w:rPr>
                <w:b/>
                <w:bCs/>
              </w:rPr>
            </w:pPr>
            <w:r>
              <w:rPr>
                <w:b/>
                <w:bCs/>
              </w:rPr>
              <w:t>$522M</w:t>
            </w:r>
          </w:p>
          <w:p w:rsidRPr="00972002" w:rsidR="00E155B4" w:rsidP="00191CB2" w:rsidRDefault="00E155B4" w14:paraId="28268189" w14:textId="77777777">
            <w:pPr>
              <w:pStyle w:val="ListParagraph"/>
              <w:jc w:val="center"/>
              <w:cnfStyle w:val="000000100000" w:firstRow="0" w:lastRow="0" w:firstColumn="0" w:lastColumn="0" w:oddVBand="0" w:evenVBand="0" w:oddHBand="1" w:evenHBand="0" w:firstRowFirstColumn="0" w:firstRowLastColumn="0" w:lastRowFirstColumn="0" w:lastRowLastColumn="0"/>
              <w:rPr>
                <w:b/>
                <w:bCs/>
              </w:rPr>
            </w:pPr>
          </w:p>
          <w:p w:rsidR="006403CD" w:rsidP="00B22006" w:rsidRDefault="00E155B4" w14:paraId="6A41710E" w14:textId="32389011">
            <w:pPr>
              <w:pStyle w:val="ListParagraph"/>
              <w:jc w:val="center"/>
              <w:cnfStyle w:val="000000100000" w:firstRow="0" w:lastRow="0" w:firstColumn="0" w:lastColumn="0" w:oddVBand="0" w:evenVBand="0" w:oddHBand="1" w:evenHBand="0" w:firstRowFirstColumn="0" w:firstRowLastColumn="0" w:lastRowFirstColumn="0" w:lastRowLastColumn="0"/>
              <w:rPr>
                <w:b/>
                <w:bCs/>
              </w:rPr>
            </w:pPr>
            <w:r w:rsidRPr="005374CC">
              <w:rPr>
                <w:i/>
                <w:iCs/>
                <w:sz w:val="14"/>
                <w:szCs w:val="14"/>
              </w:rPr>
              <w:t xml:space="preserve">variation </w:t>
            </w:r>
            <w:r w:rsidR="00D52588">
              <w:rPr>
                <w:i/>
                <w:iCs/>
                <w:sz w:val="14"/>
                <w:szCs w:val="14"/>
              </w:rPr>
              <w:t>to</w:t>
            </w:r>
            <w:r w:rsidRPr="005374CC">
              <w:rPr>
                <w:i/>
                <w:iCs/>
                <w:sz w:val="14"/>
                <w:szCs w:val="14"/>
              </w:rPr>
              <w:t xml:space="preserve"> 2020</w:t>
            </w:r>
          </w:p>
          <w:p w:rsidR="00E155B4" w:rsidP="00191CB2" w:rsidRDefault="00D52588" w14:paraId="6844317E" w14:textId="7BB3E02E">
            <w:pPr>
              <w:pStyle w:val="ListParagraph"/>
              <w:jc w:val="center"/>
              <w:cnfStyle w:val="000000100000" w:firstRow="0" w:lastRow="0" w:firstColumn="0" w:lastColumn="0" w:oddVBand="0" w:evenVBand="0" w:oddHBand="1" w:evenHBand="0" w:firstRowFirstColumn="0" w:firstRowLastColumn="0" w:lastRowFirstColumn="0" w:lastRowLastColumn="0"/>
              <w:rPr>
                <w:b/>
                <w:bCs/>
              </w:rPr>
            </w:pPr>
            <w:r>
              <w:t>-</w:t>
            </w:r>
            <w:r w:rsidRPr="00C104D7" w:rsidR="006403CD">
              <w:t>13%</w:t>
            </w:r>
          </w:p>
        </w:tc>
      </w:tr>
      <w:tr w:rsidR="00E155B4" w:rsidTr="00574667" w14:paraId="437CC260" w14:textId="77777777">
        <w:trPr>
          <w:trHeight w:val="178"/>
        </w:trPr>
        <w:tc>
          <w:tcPr>
            <w:cnfStyle w:val="001000000000" w:firstRow="0" w:lastRow="0" w:firstColumn="1" w:lastColumn="0" w:oddVBand="0" w:evenVBand="0" w:oddHBand="0" w:evenHBand="0" w:firstRowFirstColumn="0" w:firstRowLastColumn="0" w:lastRowFirstColumn="0" w:lastRowLastColumn="0"/>
            <w:tcW w:w="615" w:type="dxa"/>
            <w:vMerge/>
          </w:tcPr>
          <w:p w:rsidRPr="00C104D7" w:rsidR="006403CD" w:rsidP="00B22006" w:rsidRDefault="006403CD" w14:paraId="1E7E7CF8" w14:textId="77777777">
            <w:pPr>
              <w:pStyle w:val="ListParagraph"/>
              <w:ind w:left="0"/>
            </w:pPr>
          </w:p>
        </w:tc>
        <w:tc>
          <w:tcPr>
            <w:tcW w:w="1109" w:type="dxa"/>
          </w:tcPr>
          <w:p w:rsidRPr="007C27C8" w:rsidR="00E155B4" w:rsidP="00191CB2" w:rsidRDefault="00E155B4" w14:paraId="75E47E7D" w14:textId="74849CC1">
            <w:pPr>
              <w:pStyle w:val="ListParagraph"/>
              <w:ind w:left="0"/>
              <w:cnfStyle w:val="000000000000" w:firstRow="0" w:lastRow="0" w:firstColumn="0" w:lastColumn="0" w:oddVBand="0" w:evenVBand="0" w:oddHBand="0" w:evenHBand="0" w:firstRowFirstColumn="0" w:firstRowLastColumn="0" w:lastRowFirstColumn="0" w:lastRowLastColumn="0"/>
              <w:rPr>
                <w:b/>
                <w:bCs/>
              </w:rPr>
            </w:pPr>
            <w:r w:rsidRPr="007C27C8">
              <w:rPr>
                <w:b/>
                <w:bCs/>
              </w:rPr>
              <w:t>5.9M</w:t>
            </w:r>
          </w:p>
        </w:tc>
        <w:tc>
          <w:tcPr>
            <w:tcW w:w="1041" w:type="dxa"/>
          </w:tcPr>
          <w:p w:rsidRPr="00C104D7" w:rsidR="00E155B4" w:rsidP="00191CB2" w:rsidRDefault="00E155B4" w14:paraId="59D58129" w14:textId="77777777">
            <w:pPr>
              <w:pStyle w:val="ListParagraph"/>
              <w:ind w:left="0"/>
              <w:cnfStyle w:val="000000000000" w:firstRow="0" w:lastRow="0" w:firstColumn="0" w:lastColumn="0" w:oddVBand="0" w:evenVBand="0" w:oddHBand="0" w:evenHBand="0" w:firstRowFirstColumn="0" w:firstRowLastColumn="0" w:lastRowFirstColumn="0" w:lastRowLastColumn="0"/>
            </w:pPr>
            <w:r w:rsidRPr="00C104D7">
              <w:t>4%</w:t>
            </w:r>
          </w:p>
        </w:tc>
        <w:tc>
          <w:tcPr>
            <w:tcW w:w="1044" w:type="dxa"/>
          </w:tcPr>
          <w:p w:rsidRPr="00C104D7" w:rsidR="00E155B4" w:rsidP="00191CB2" w:rsidRDefault="00E155B4" w14:paraId="6EC8F68E" w14:textId="7E919CDC">
            <w:pPr>
              <w:pStyle w:val="ListParagraph"/>
              <w:ind w:left="0"/>
              <w:cnfStyle w:val="000000000000" w:firstRow="0" w:lastRow="0" w:firstColumn="0" w:lastColumn="0" w:oddVBand="0" w:evenVBand="0" w:oddHBand="0" w:evenHBand="0" w:firstRowFirstColumn="0" w:firstRowLastColumn="0" w:lastRowFirstColumn="0" w:lastRowLastColumn="0"/>
              <w:rPr>
                <w:b/>
                <w:bCs/>
              </w:rPr>
            </w:pPr>
            <w:r w:rsidRPr="00C104D7">
              <w:rPr>
                <w:b/>
                <w:bCs/>
              </w:rPr>
              <w:t>2.</w:t>
            </w:r>
            <w:r w:rsidRPr="00C104D7" w:rsidR="006403CD">
              <w:rPr>
                <w:b/>
                <w:bCs/>
              </w:rPr>
              <w:t>7</w:t>
            </w:r>
            <w:r w:rsidR="007C27C8">
              <w:rPr>
                <w:b/>
                <w:bCs/>
              </w:rPr>
              <w:t>M</w:t>
            </w:r>
          </w:p>
        </w:tc>
        <w:tc>
          <w:tcPr>
            <w:tcW w:w="1110" w:type="dxa"/>
          </w:tcPr>
          <w:p w:rsidRPr="00C104D7" w:rsidR="00E155B4" w:rsidP="00191CB2" w:rsidRDefault="00E155B4" w14:paraId="2EA79EAC" w14:textId="77777777">
            <w:pPr>
              <w:pStyle w:val="ListParagraph"/>
              <w:ind w:left="0"/>
              <w:cnfStyle w:val="000000000000" w:firstRow="0" w:lastRow="0" w:firstColumn="0" w:lastColumn="0" w:oddVBand="0" w:evenVBand="0" w:oddHBand="0" w:evenHBand="0" w:firstRowFirstColumn="0" w:firstRowLastColumn="0" w:lastRowFirstColumn="0" w:lastRowLastColumn="0"/>
            </w:pPr>
            <w:r w:rsidRPr="00C104D7">
              <w:t>6%</w:t>
            </w:r>
          </w:p>
        </w:tc>
        <w:tc>
          <w:tcPr>
            <w:tcW w:w="1001" w:type="dxa"/>
            <w:gridSpan w:val="2"/>
            <w:vMerge/>
          </w:tcPr>
          <w:p w:rsidR="00E155B4" w:rsidP="00191CB2" w:rsidRDefault="00E155B4" w14:paraId="6F7EF457"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c>
          <w:tcPr>
            <w:tcW w:w="953" w:type="dxa"/>
            <w:vMerge/>
          </w:tcPr>
          <w:p w:rsidR="00E155B4" w:rsidP="00191CB2" w:rsidRDefault="00E155B4" w14:paraId="74708EDC"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c>
          <w:tcPr>
            <w:tcW w:w="2572" w:type="dxa"/>
            <w:vMerge/>
            <w:shd w:val="clear" w:color="auto" w:fill="E7E6E6" w:themeFill="background2"/>
          </w:tcPr>
          <w:p w:rsidR="00E155B4" w:rsidP="00191CB2" w:rsidRDefault="00E155B4" w14:paraId="1D25856F" w14:textId="43B0F33A">
            <w:pPr>
              <w:pStyle w:val="ListParagraph"/>
              <w:jc w:val="center"/>
              <w:cnfStyle w:val="000000000000" w:firstRow="0" w:lastRow="0" w:firstColumn="0" w:lastColumn="0" w:oddVBand="0" w:evenVBand="0" w:oddHBand="0" w:evenHBand="0" w:firstRowFirstColumn="0" w:firstRowLastColumn="0" w:lastRowFirstColumn="0" w:lastRowLastColumn="0"/>
              <w:rPr>
                <w:b/>
                <w:bCs/>
              </w:rPr>
            </w:pPr>
          </w:p>
        </w:tc>
      </w:tr>
      <w:tr w:rsidR="00543DDD" w:rsidTr="00574667" w14:paraId="0CC498B8" w14:textId="77777777">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615" w:type="dxa"/>
            <w:vMerge w:val="restart"/>
          </w:tcPr>
          <w:p w:rsidR="006403CD" w:rsidP="00B22006" w:rsidRDefault="006403CD" w14:paraId="19CE22D2" w14:textId="68826A30">
            <w:pPr>
              <w:pStyle w:val="ListParagraph"/>
              <w:ind w:left="0"/>
              <w:rPr>
                <w:i/>
                <w:iCs/>
                <w:sz w:val="14"/>
                <w:szCs w:val="14"/>
              </w:rPr>
            </w:pPr>
            <w:r>
              <w:rPr>
                <w:i/>
                <w:iCs/>
                <w:sz w:val="14"/>
                <w:szCs w:val="14"/>
              </w:rPr>
              <w:t>NFI</w:t>
            </w:r>
          </w:p>
        </w:tc>
        <w:tc>
          <w:tcPr>
            <w:tcW w:w="1109" w:type="dxa"/>
          </w:tcPr>
          <w:p w:rsidRPr="005374CC" w:rsidR="00E155B4" w:rsidP="00191CB2" w:rsidRDefault="00E155B4" w14:paraId="68E58BC6" w14:textId="0AE54D2B">
            <w:pPr>
              <w:pStyle w:val="ListParagraph"/>
              <w:ind w:left="0"/>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In million</w:t>
            </w:r>
          </w:p>
        </w:tc>
        <w:tc>
          <w:tcPr>
            <w:tcW w:w="1041" w:type="dxa"/>
          </w:tcPr>
          <w:p w:rsidRPr="005374CC" w:rsidR="00E155B4" w:rsidP="00191CB2" w:rsidRDefault="00E155B4" w14:paraId="49302776" w14:textId="77777777">
            <w:pPr>
              <w:pStyle w:val="ListParagraph"/>
              <w:ind w:left="0"/>
              <w:cnfStyle w:val="000000100000" w:firstRow="0" w:lastRow="0" w:firstColumn="0" w:lastColumn="0" w:oddVBand="0" w:evenVBand="0" w:oddHBand="1" w:evenHBand="0" w:firstRowFirstColumn="0" w:firstRowLastColumn="0" w:lastRowFirstColumn="0" w:lastRowLastColumn="0"/>
              <w:rPr>
                <w:i/>
                <w:iCs/>
                <w:sz w:val="14"/>
                <w:szCs w:val="14"/>
              </w:rPr>
            </w:pPr>
            <w:r w:rsidRPr="005374CC">
              <w:rPr>
                <w:i/>
                <w:iCs/>
                <w:sz w:val="14"/>
                <w:szCs w:val="14"/>
              </w:rPr>
              <w:t>% variation in 2020</w:t>
            </w:r>
          </w:p>
        </w:tc>
        <w:tc>
          <w:tcPr>
            <w:tcW w:w="1044" w:type="dxa"/>
          </w:tcPr>
          <w:p w:rsidRPr="005374CC" w:rsidR="00E155B4" w:rsidP="00191CB2" w:rsidRDefault="00E155B4" w14:paraId="5766AF5C" w14:textId="77777777">
            <w:pPr>
              <w:pStyle w:val="ListParagraph"/>
              <w:ind w:left="0"/>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In million</w:t>
            </w:r>
          </w:p>
        </w:tc>
        <w:tc>
          <w:tcPr>
            <w:tcW w:w="1110" w:type="dxa"/>
          </w:tcPr>
          <w:p w:rsidRPr="005374CC" w:rsidR="00E155B4" w:rsidP="00191CB2" w:rsidRDefault="00E155B4" w14:paraId="19623FEE" w14:textId="77777777">
            <w:pPr>
              <w:pStyle w:val="ListParagraph"/>
              <w:ind w:left="0"/>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977" w:type="dxa"/>
            <w:vMerge w:val="restart"/>
          </w:tcPr>
          <w:p w:rsidRPr="005374CC" w:rsidR="006403CD" w:rsidP="00DA2A79" w:rsidRDefault="006403CD" w14:paraId="0BD273CE" w14:textId="77777777">
            <w:pPr>
              <w:cnfStyle w:val="000000100000" w:firstRow="0" w:lastRow="0" w:firstColumn="0" w:lastColumn="0" w:oddVBand="0" w:evenVBand="0" w:oddHBand="1" w:evenHBand="0" w:firstRowFirstColumn="0" w:firstRowLastColumn="0" w:lastRowFirstColumn="0" w:lastRowLastColumn="0"/>
              <w:rPr>
                <w:sz w:val="14"/>
                <w:szCs w:val="14"/>
              </w:rPr>
            </w:pPr>
            <w:r w:rsidRPr="005374CC">
              <w:rPr>
                <w:b/>
                <w:bCs/>
              </w:rPr>
              <w:t>45</w:t>
            </w:r>
            <w:r w:rsidRPr="00C104D7">
              <w:rPr>
                <w:sz w:val="18"/>
                <w:szCs w:val="18"/>
              </w:rPr>
              <w:t>(-2)</w:t>
            </w:r>
          </w:p>
          <w:p w:rsidRPr="005374CC" w:rsidR="006403CD" w:rsidP="00DA2A79" w:rsidRDefault="006403CD" w14:paraId="711B88E2" w14:textId="77777777">
            <w:pPr>
              <w:cnfStyle w:val="000000100000" w:firstRow="0" w:lastRow="0" w:firstColumn="0" w:lastColumn="0" w:oddVBand="0" w:evenVBand="0" w:oddHBand="1" w:evenHBand="0" w:firstRowFirstColumn="0" w:firstRowLastColumn="0" w:lastRowFirstColumn="0" w:lastRowLastColumn="0"/>
              <w:rPr>
                <w:b/>
                <w:bCs/>
              </w:rPr>
            </w:pPr>
          </w:p>
        </w:tc>
        <w:tc>
          <w:tcPr>
            <w:tcW w:w="977" w:type="dxa"/>
            <w:gridSpan w:val="2"/>
            <w:vMerge w:val="restart"/>
          </w:tcPr>
          <w:p w:rsidRPr="005374CC" w:rsidR="00E155B4" w:rsidP="00191CB2" w:rsidRDefault="00E155B4" w14:paraId="664416FF" w14:textId="64889192">
            <w:pPr>
              <w:cnfStyle w:val="000000100000" w:firstRow="0" w:lastRow="0" w:firstColumn="0" w:lastColumn="0" w:oddVBand="0" w:evenVBand="0" w:oddHBand="1" w:evenHBand="0" w:firstRowFirstColumn="0" w:firstRowLastColumn="0" w:lastRowFirstColumn="0" w:lastRowLastColumn="0"/>
              <w:rPr>
                <w:b/>
                <w:bCs/>
              </w:rPr>
            </w:pPr>
            <w:r w:rsidRPr="005374CC">
              <w:rPr>
                <w:b/>
                <w:bCs/>
              </w:rPr>
              <w:t>45</w:t>
            </w:r>
            <w:r w:rsidRPr="00C104D7">
              <w:rPr>
                <w:sz w:val="18"/>
                <w:szCs w:val="18"/>
              </w:rPr>
              <w:t>(-3)</w:t>
            </w:r>
          </w:p>
        </w:tc>
        <w:tc>
          <w:tcPr>
            <w:tcW w:w="2572" w:type="dxa"/>
            <w:vMerge/>
            <w:shd w:val="clear" w:color="auto" w:fill="E7E6E6" w:themeFill="background2"/>
          </w:tcPr>
          <w:p w:rsidRPr="00C104D7" w:rsidR="00E155B4" w:rsidP="00191CB2" w:rsidRDefault="00E155B4" w14:paraId="5D331BF6" w14:textId="36F4B442">
            <w:pPr>
              <w:pStyle w:val="ListParagraph"/>
              <w:jc w:val="center"/>
              <w:cnfStyle w:val="000000100000" w:firstRow="0" w:lastRow="0" w:firstColumn="0" w:lastColumn="0" w:oddVBand="0" w:evenVBand="0" w:oddHBand="1" w:evenHBand="0" w:firstRowFirstColumn="0" w:firstRowLastColumn="0" w:lastRowFirstColumn="0" w:lastRowLastColumn="0"/>
            </w:pPr>
          </w:p>
        </w:tc>
      </w:tr>
      <w:tr w:rsidR="00E155B4" w:rsidTr="00574667" w14:paraId="5BEE9BD2" w14:textId="77777777">
        <w:trPr>
          <w:trHeight w:val="178"/>
        </w:trPr>
        <w:tc>
          <w:tcPr>
            <w:cnfStyle w:val="001000000000" w:firstRow="0" w:lastRow="0" w:firstColumn="1" w:lastColumn="0" w:oddVBand="0" w:evenVBand="0" w:oddHBand="0" w:evenHBand="0" w:firstRowFirstColumn="0" w:firstRowLastColumn="0" w:lastRowFirstColumn="0" w:lastRowLastColumn="0"/>
            <w:tcW w:w="615" w:type="dxa"/>
            <w:vMerge/>
          </w:tcPr>
          <w:p w:rsidRPr="00C104D7" w:rsidR="006403CD" w:rsidP="00B22006" w:rsidRDefault="006403CD" w14:paraId="68EBF05A" w14:textId="77777777">
            <w:pPr>
              <w:pStyle w:val="ListParagraph"/>
              <w:ind w:left="0"/>
            </w:pPr>
          </w:p>
        </w:tc>
        <w:tc>
          <w:tcPr>
            <w:tcW w:w="1109" w:type="dxa"/>
          </w:tcPr>
          <w:p w:rsidRPr="007C27C8" w:rsidR="00E155B4" w:rsidP="00191CB2" w:rsidRDefault="00E155B4" w14:paraId="6D2370FB" w14:textId="291A16DD">
            <w:pPr>
              <w:pStyle w:val="ListParagraph"/>
              <w:ind w:left="0"/>
              <w:cnfStyle w:val="000000000000" w:firstRow="0" w:lastRow="0" w:firstColumn="0" w:lastColumn="0" w:oddVBand="0" w:evenVBand="0" w:oddHBand="0" w:evenHBand="0" w:firstRowFirstColumn="0" w:firstRowLastColumn="0" w:lastRowFirstColumn="0" w:lastRowLastColumn="0"/>
              <w:rPr>
                <w:b/>
                <w:bCs/>
              </w:rPr>
            </w:pPr>
            <w:r w:rsidRPr="007C27C8">
              <w:rPr>
                <w:b/>
                <w:bCs/>
              </w:rPr>
              <w:t>4.7M</w:t>
            </w:r>
          </w:p>
        </w:tc>
        <w:tc>
          <w:tcPr>
            <w:tcW w:w="1041" w:type="dxa"/>
          </w:tcPr>
          <w:p w:rsidRPr="00C104D7" w:rsidR="00E155B4" w:rsidP="00191CB2" w:rsidRDefault="00E155B4" w14:paraId="03B2387C" w14:textId="77777777">
            <w:pPr>
              <w:pStyle w:val="ListParagraph"/>
              <w:ind w:left="0"/>
              <w:cnfStyle w:val="000000000000" w:firstRow="0" w:lastRow="0" w:firstColumn="0" w:lastColumn="0" w:oddVBand="0" w:evenVBand="0" w:oddHBand="0" w:evenHBand="0" w:firstRowFirstColumn="0" w:firstRowLastColumn="0" w:lastRowFirstColumn="0" w:lastRowLastColumn="0"/>
            </w:pPr>
            <w:r w:rsidRPr="00C104D7">
              <w:t>8%</w:t>
            </w:r>
          </w:p>
        </w:tc>
        <w:tc>
          <w:tcPr>
            <w:tcW w:w="1044" w:type="dxa"/>
          </w:tcPr>
          <w:p w:rsidRPr="00C104D7" w:rsidR="00E155B4" w:rsidP="00191CB2" w:rsidRDefault="00E155B4" w14:paraId="672DA4B7" w14:textId="71080978">
            <w:pPr>
              <w:pStyle w:val="ListParagraph"/>
              <w:ind w:left="0"/>
              <w:cnfStyle w:val="000000000000" w:firstRow="0" w:lastRow="0" w:firstColumn="0" w:lastColumn="0" w:oddVBand="0" w:evenVBand="0" w:oddHBand="0" w:evenHBand="0" w:firstRowFirstColumn="0" w:firstRowLastColumn="0" w:lastRowFirstColumn="0" w:lastRowLastColumn="0"/>
              <w:rPr>
                <w:b/>
                <w:bCs/>
              </w:rPr>
            </w:pPr>
            <w:r w:rsidRPr="00C104D7">
              <w:rPr>
                <w:b/>
                <w:bCs/>
              </w:rPr>
              <w:t>2.9M</w:t>
            </w:r>
            <w:r w:rsidR="0020322F">
              <w:rPr>
                <w:rStyle w:val="FootnoteReference"/>
                <w:b/>
                <w:bCs/>
              </w:rPr>
              <w:footnoteReference w:id="3"/>
            </w:r>
            <w:r w:rsidR="00903438">
              <w:rPr>
                <w:b/>
                <w:bCs/>
              </w:rPr>
              <w:t>/4.1M</w:t>
            </w:r>
          </w:p>
        </w:tc>
        <w:tc>
          <w:tcPr>
            <w:tcW w:w="1110" w:type="dxa"/>
          </w:tcPr>
          <w:p w:rsidRPr="00C104D7" w:rsidR="00E155B4" w:rsidP="00191CB2" w:rsidRDefault="00E155B4" w14:paraId="5D14FF1C" w14:textId="20FCD58B">
            <w:pPr>
              <w:pStyle w:val="ListParagraph"/>
              <w:ind w:left="0"/>
              <w:cnfStyle w:val="000000000000" w:firstRow="0" w:lastRow="0" w:firstColumn="0" w:lastColumn="0" w:oddVBand="0" w:evenVBand="0" w:oddHBand="0" w:evenHBand="0" w:firstRowFirstColumn="0" w:firstRowLastColumn="0" w:lastRowFirstColumn="0" w:lastRowLastColumn="0"/>
            </w:pPr>
            <w:r w:rsidRPr="00C104D7">
              <w:t>33%</w:t>
            </w:r>
            <w:r w:rsidR="00903438">
              <w:t>/</w:t>
            </w:r>
            <w:r w:rsidR="00043DC9">
              <w:t>58%</w:t>
            </w:r>
          </w:p>
        </w:tc>
        <w:tc>
          <w:tcPr>
            <w:tcW w:w="977" w:type="dxa"/>
            <w:vMerge/>
            <w:shd w:val="clear" w:color="auto" w:fill="F2F2F2" w:themeFill="background1" w:themeFillShade="F2"/>
          </w:tcPr>
          <w:p w:rsidRPr="00C104D7" w:rsidR="006403CD" w:rsidP="00B22006" w:rsidRDefault="006403CD" w14:paraId="15B756D8"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c>
          <w:tcPr>
            <w:tcW w:w="977" w:type="dxa"/>
            <w:gridSpan w:val="2"/>
            <w:vMerge/>
            <w:shd w:val="clear" w:color="auto" w:fill="F2F2F2" w:themeFill="background1" w:themeFillShade="F2"/>
          </w:tcPr>
          <w:p w:rsidR="00E155B4" w:rsidP="00191CB2" w:rsidRDefault="00E155B4" w14:paraId="4E9D9992" w14:textId="4DE64379">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c>
          <w:tcPr>
            <w:tcW w:w="2572" w:type="dxa"/>
            <w:vMerge/>
            <w:shd w:val="clear" w:color="auto" w:fill="E7E6E6" w:themeFill="background2"/>
          </w:tcPr>
          <w:p w:rsidR="00E155B4" w:rsidP="00191CB2" w:rsidRDefault="00E155B4" w14:paraId="0F1962C3"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r>
    </w:tbl>
    <w:p w:rsidRPr="002011E6" w:rsidR="00E155B4" w:rsidP="00EB3A60" w:rsidRDefault="00E155B4" w14:paraId="09A58618" w14:textId="77777777">
      <w:pPr>
        <w:pBdr>
          <w:top w:val="nil"/>
          <w:left w:val="nil"/>
          <w:bottom w:val="nil"/>
          <w:right w:val="nil"/>
          <w:between w:val="nil"/>
        </w:pBdr>
        <w:spacing w:after="0" w:line="240" w:lineRule="auto"/>
        <w:rPr>
          <w:rFonts w:asciiTheme="majorHAnsi" w:hAnsiTheme="majorHAnsi" w:cstheme="majorHAnsi"/>
          <w:b/>
          <w:sz w:val="20"/>
          <w:szCs w:val="20"/>
        </w:rPr>
      </w:pPr>
    </w:p>
    <w:p w:rsidRPr="00A67960" w:rsidR="00E155B4" w:rsidP="003A253C" w:rsidRDefault="00E155B4" w14:paraId="6FFB3EAB" w14:textId="39137BA0">
      <w:pPr>
        <w:pStyle w:val="ListParagraph"/>
        <w:numPr>
          <w:ilvl w:val="0"/>
          <w:numId w:val="37"/>
        </w:numPr>
        <w:rPr>
          <w:u w:val="single"/>
        </w:rPr>
      </w:pPr>
      <w:r w:rsidRPr="16657CDA">
        <w:rPr>
          <w:rFonts w:asciiTheme="minorHAnsi" w:hAnsiTheme="minorHAnsi" w:cstheme="minorBidi"/>
          <w:b/>
          <w:sz w:val="20"/>
          <w:szCs w:val="20"/>
        </w:rPr>
        <w:t xml:space="preserve">Most significant response gaps in 2020: </w:t>
      </w:r>
    </w:p>
    <w:p w:rsidRPr="00A67960" w:rsidR="00E155B4" w:rsidP="00E155B4" w:rsidRDefault="00E155B4" w14:paraId="5B3F1A1D" w14:textId="2E269438">
      <w:pPr>
        <w:pStyle w:val="ListParagraph"/>
        <w:numPr>
          <w:ilvl w:val="0"/>
          <w:numId w:val="41"/>
        </w:numPr>
        <w:pBdr>
          <w:top w:val="nil"/>
          <w:left w:val="nil"/>
          <w:bottom w:val="nil"/>
          <w:right w:val="nil"/>
          <w:between w:val="nil"/>
        </w:pBdr>
        <w:contextualSpacing/>
        <w:jc w:val="both"/>
        <w:rPr>
          <w:rFonts w:asciiTheme="minorHAnsi" w:hAnsiTheme="minorHAnsi" w:cstheme="minorHAnsi"/>
          <w:sz w:val="20"/>
          <w:szCs w:val="20"/>
        </w:rPr>
      </w:pPr>
      <w:r w:rsidRPr="00A67960">
        <w:rPr>
          <w:rFonts w:asciiTheme="minorHAnsi" w:hAnsiTheme="minorHAnsi" w:cstheme="minorHAnsi"/>
          <w:sz w:val="20"/>
          <w:szCs w:val="20"/>
        </w:rPr>
        <w:t xml:space="preserve">NFIs: Basic items </w:t>
      </w:r>
      <w:r w:rsidR="00D52588">
        <w:rPr>
          <w:rFonts w:asciiTheme="minorHAnsi" w:hAnsiTheme="minorHAnsi" w:cstheme="minorHAnsi"/>
          <w:sz w:val="20"/>
          <w:szCs w:val="20"/>
        </w:rPr>
        <w:t>have beco</w:t>
      </w:r>
      <w:r w:rsidRPr="00A67960">
        <w:rPr>
          <w:rFonts w:asciiTheme="minorHAnsi" w:hAnsiTheme="minorHAnsi" w:cstheme="minorHAnsi"/>
          <w:sz w:val="20"/>
          <w:szCs w:val="20"/>
        </w:rPr>
        <w:t xml:space="preserve">me increasingly more expensive while families’ purchasing power diminished in 2020. NFIs, particularly seasonal support, remain critical to ensure the safety and health of families. If the economic situation continues to deteriorate, the NFI sector expects the </w:t>
      </w:r>
      <w:proofErr w:type="spellStart"/>
      <w:r w:rsidRPr="00A67960">
        <w:rPr>
          <w:rFonts w:asciiTheme="minorHAnsi" w:hAnsiTheme="minorHAnsi" w:cstheme="minorHAnsi"/>
          <w:sz w:val="20"/>
          <w:szCs w:val="20"/>
        </w:rPr>
        <w:t>PiN</w:t>
      </w:r>
      <w:proofErr w:type="spellEnd"/>
      <w:r w:rsidRPr="00A67960">
        <w:rPr>
          <w:rFonts w:asciiTheme="minorHAnsi" w:hAnsiTheme="minorHAnsi" w:cstheme="minorHAnsi"/>
          <w:sz w:val="20"/>
          <w:szCs w:val="20"/>
        </w:rPr>
        <w:t xml:space="preserve"> to continue increasing, making winter support </w:t>
      </w:r>
      <w:proofErr w:type="gramStart"/>
      <w:r w:rsidR="00D52588">
        <w:rPr>
          <w:rFonts w:asciiTheme="minorHAnsi" w:hAnsiTheme="minorHAnsi" w:cstheme="minorHAnsi"/>
          <w:sz w:val="20"/>
          <w:szCs w:val="20"/>
        </w:rPr>
        <w:t xml:space="preserve">in particular </w:t>
      </w:r>
      <w:r w:rsidRPr="00A67960">
        <w:rPr>
          <w:rFonts w:asciiTheme="minorHAnsi" w:hAnsiTheme="minorHAnsi" w:cstheme="minorHAnsi"/>
          <w:sz w:val="20"/>
          <w:szCs w:val="20"/>
        </w:rPr>
        <w:t>even more</w:t>
      </w:r>
      <w:proofErr w:type="gramEnd"/>
      <w:r w:rsidRPr="00A67960">
        <w:rPr>
          <w:rFonts w:asciiTheme="minorHAnsi" w:hAnsiTheme="minorHAnsi" w:cstheme="minorHAnsi"/>
          <w:sz w:val="20"/>
          <w:szCs w:val="20"/>
        </w:rPr>
        <w:t xml:space="preserve"> vital. </w:t>
      </w:r>
    </w:p>
    <w:p w:rsidRPr="004467A3" w:rsidR="00E155B4" w:rsidP="004467A3" w:rsidRDefault="00E155B4" w14:paraId="0BD5B826" w14:textId="2864BE85">
      <w:pPr>
        <w:pStyle w:val="ListParagraph"/>
        <w:numPr>
          <w:ilvl w:val="0"/>
          <w:numId w:val="41"/>
        </w:numPr>
        <w:rPr>
          <w:rFonts w:asciiTheme="minorHAnsi" w:hAnsiTheme="minorHAnsi"/>
        </w:rPr>
      </w:pPr>
      <w:r w:rsidRPr="004467A3">
        <w:rPr>
          <w:rFonts w:asciiTheme="minorHAnsi" w:hAnsiTheme="minorHAnsi"/>
          <w:sz w:val="20"/>
          <w:szCs w:val="20"/>
        </w:rPr>
        <w:t>Shelter: Although there was significant response, limited capacity of partners, funding and in some areas lengthy approvals limited the response. An estimated 31 per cent of the population live in inadequate shelter, with IDPs and returnees disproportionately affected: nearly 50 per cent of returnees live in damaged buildings, and 26 per cent of IDP’s reside in damaged and/or unfinished buildings, public buildings and non-residential buildings. Poor shelter conditions increase protection and health risks, particularly when combined with overcrowding and inadequate access to water, sanitation and health services, enabling the spread of respiratory and epidemic-prone diseases, including COVID-19.</w:t>
      </w:r>
      <w:r w:rsidRPr="00A67960">
        <w:rPr>
          <w:rFonts w:asciiTheme="minorHAnsi" w:hAnsiTheme="minorHAnsi"/>
        </w:rPr>
        <w:t xml:space="preserve"> </w:t>
      </w:r>
    </w:p>
    <w:p w:rsidRPr="00D52588" w:rsidR="00D52588" w:rsidP="00D52588" w:rsidRDefault="00D52588" w14:paraId="38EFB672" w14:textId="4BE81396">
      <w:pPr>
        <w:pStyle w:val="ListParagraph"/>
        <w:ind w:left="360"/>
        <w:rPr>
          <w:rFonts w:cstheme="minorHAnsi"/>
          <w:b/>
          <w:bCs/>
          <w:sz w:val="20"/>
          <w:szCs w:val="20"/>
        </w:rPr>
      </w:pPr>
    </w:p>
    <w:p w:rsidRPr="00A67960" w:rsidR="00E155B4" w:rsidP="00840870" w:rsidRDefault="00E155B4" w14:paraId="0407B216" w14:textId="57491C81">
      <w:pPr>
        <w:pStyle w:val="ListParagraph"/>
        <w:numPr>
          <w:ilvl w:val="0"/>
          <w:numId w:val="37"/>
        </w:numPr>
      </w:pPr>
      <w:r w:rsidRPr="00A67960">
        <w:rPr>
          <w:rFonts w:asciiTheme="minorHAnsi" w:hAnsiTheme="minorHAnsi" w:cstheme="minorHAnsi"/>
          <w:b/>
          <w:bCs/>
          <w:sz w:val="20"/>
          <w:szCs w:val="20"/>
        </w:rPr>
        <w:t>Critical sector priorities in 2021:</w:t>
      </w:r>
      <w:r w:rsidRPr="00840870">
        <w:rPr>
          <w:rFonts w:cstheme="minorHAnsi"/>
          <w:b/>
          <w:bCs/>
          <w:sz w:val="20"/>
          <w:szCs w:val="20"/>
        </w:rPr>
        <w:t xml:space="preserve">   </w:t>
      </w:r>
    </w:p>
    <w:p w:rsidRPr="00A67960" w:rsidR="00E155B4" w:rsidP="00E155B4" w:rsidRDefault="00E155B4" w14:paraId="739F7065" w14:textId="56A5B77F">
      <w:pPr>
        <w:spacing w:after="0" w:line="240" w:lineRule="auto"/>
        <w:jc w:val="both"/>
        <w:rPr>
          <w:rFonts w:cstheme="minorHAnsi"/>
          <w:sz w:val="20"/>
          <w:szCs w:val="20"/>
        </w:rPr>
      </w:pPr>
      <w:r w:rsidRPr="00A67960">
        <w:rPr>
          <w:rFonts w:cstheme="minorHAnsi"/>
          <w:sz w:val="20"/>
          <w:szCs w:val="20"/>
        </w:rPr>
        <w:t xml:space="preserve">In 2021, the Shelter and NFI sectors will provide emergency NFIs, seasonal assistance and shelter support in last resort sites to vulnerable IDPs, returnees and host community as well as integrated shelter support in underserved areas. All support will </w:t>
      </w:r>
      <w:proofErr w:type="gramStart"/>
      <w:r w:rsidRPr="00A67960">
        <w:rPr>
          <w:rFonts w:cstheme="minorHAnsi"/>
          <w:sz w:val="20"/>
          <w:szCs w:val="20"/>
        </w:rPr>
        <w:t>take into account</w:t>
      </w:r>
      <w:proofErr w:type="gramEnd"/>
      <w:r w:rsidRPr="00A67960">
        <w:rPr>
          <w:rFonts w:cstheme="minorHAnsi"/>
          <w:sz w:val="20"/>
          <w:szCs w:val="20"/>
        </w:rPr>
        <w:t xml:space="preserve"> COVID-19 precautionary measures. </w:t>
      </w:r>
    </w:p>
    <w:p w:rsidRPr="00A67960" w:rsidR="00E155B4" w:rsidP="00E155B4" w:rsidRDefault="00E155B4" w14:paraId="46A7D391" w14:textId="77777777">
      <w:pPr>
        <w:pBdr>
          <w:top w:val="nil"/>
          <w:left w:val="nil"/>
          <w:bottom w:val="nil"/>
          <w:right w:val="nil"/>
          <w:between w:val="nil"/>
        </w:pBdr>
        <w:spacing w:after="0" w:line="240" w:lineRule="auto"/>
        <w:jc w:val="both"/>
        <w:rPr>
          <w:rFonts w:cstheme="minorHAnsi"/>
          <w:sz w:val="20"/>
          <w:szCs w:val="20"/>
        </w:rPr>
      </w:pPr>
      <w:r w:rsidRPr="00A67960">
        <w:rPr>
          <w:rFonts w:cstheme="minorHAnsi"/>
          <w:sz w:val="20"/>
          <w:szCs w:val="20"/>
          <w:u w:val="single"/>
        </w:rPr>
        <w:t>NFI Priorities</w:t>
      </w:r>
      <w:r w:rsidRPr="00A67960">
        <w:rPr>
          <w:rFonts w:cstheme="minorHAnsi"/>
          <w:sz w:val="20"/>
          <w:szCs w:val="20"/>
        </w:rPr>
        <w:t xml:space="preserve">: </w:t>
      </w:r>
    </w:p>
    <w:p w:rsidRPr="00A67960" w:rsidR="00E155B4" w:rsidP="00E155B4" w:rsidRDefault="00E155B4" w14:paraId="2F6C4BB3" w14:textId="77777777">
      <w:pPr>
        <w:numPr>
          <w:ilvl w:val="0"/>
          <w:numId w:val="38"/>
        </w:numPr>
        <w:pBdr>
          <w:top w:val="nil"/>
          <w:left w:val="nil"/>
          <w:bottom w:val="nil"/>
          <w:right w:val="nil"/>
          <w:between w:val="nil"/>
        </w:pBdr>
        <w:spacing w:after="0" w:line="240" w:lineRule="auto"/>
        <w:jc w:val="both"/>
        <w:rPr>
          <w:rFonts w:cstheme="minorHAnsi"/>
          <w:sz w:val="20"/>
          <w:szCs w:val="20"/>
        </w:rPr>
      </w:pPr>
      <w:r w:rsidRPr="00A67960">
        <w:rPr>
          <w:rFonts w:cstheme="minorHAnsi"/>
          <w:sz w:val="20"/>
          <w:szCs w:val="20"/>
        </w:rPr>
        <w:t xml:space="preserve">Distributions of kit-based core relief items to those who have experienced sudden displacement, replenishment for households </w:t>
      </w:r>
      <w:proofErr w:type="gramStart"/>
      <w:r w:rsidRPr="00A67960">
        <w:rPr>
          <w:rFonts w:cstheme="minorHAnsi"/>
          <w:sz w:val="20"/>
          <w:szCs w:val="20"/>
        </w:rPr>
        <w:t>living  in</w:t>
      </w:r>
      <w:proofErr w:type="gramEnd"/>
      <w:r w:rsidRPr="00A67960">
        <w:rPr>
          <w:rFonts w:cstheme="minorHAnsi"/>
          <w:sz w:val="20"/>
          <w:szCs w:val="20"/>
        </w:rPr>
        <w:t xml:space="preserve"> last resort sites or are unable to access items.</w:t>
      </w:r>
    </w:p>
    <w:p w:rsidRPr="00A67960" w:rsidR="00E155B4" w:rsidP="00E155B4" w:rsidRDefault="00E155B4" w14:paraId="68A0ECB0" w14:textId="77777777">
      <w:pPr>
        <w:numPr>
          <w:ilvl w:val="0"/>
          <w:numId w:val="38"/>
        </w:numPr>
        <w:pBdr>
          <w:top w:val="nil"/>
          <w:left w:val="nil"/>
          <w:bottom w:val="nil"/>
          <w:right w:val="nil"/>
          <w:between w:val="nil"/>
        </w:pBdr>
        <w:spacing w:after="0" w:line="240" w:lineRule="auto"/>
        <w:jc w:val="both"/>
        <w:rPr>
          <w:rFonts w:cstheme="minorHAnsi"/>
          <w:sz w:val="20"/>
          <w:szCs w:val="20"/>
        </w:rPr>
      </w:pPr>
      <w:r w:rsidRPr="00A67960">
        <w:rPr>
          <w:rFonts w:cstheme="minorHAnsi"/>
          <w:sz w:val="20"/>
          <w:szCs w:val="20"/>
        </w:rPr>
        <w:t>Seasonal items, for both winter and summer, will be distributed to reduce the impact of exposure to extreme conditions.</w:t>
      </w:r>
    </w:p>
    <w:p w:rsidRPr="00A67960" w:rsidR="00E155B4" w:rsidP="00E155B4" w:rsidRDefault="00E155B4" w14:paraId="00A513E7" w14:textId="77777777">
      <w:pPr>
        <w:numPr>
          <w:ilvl w:val="0"/>
          <w:numId w:val="38"/>
        </w:numPr>
        <w:pBdr>
          <w:top w:val="nil"/>
          <w:left w:val="nil"/>
          <w:bottom w:val="nil"/>
          <w:right w:val="nil"/>
          <w:between w:val="nil"/>
        </w:pBdr>
        <w:spacing w:after="0" w:line="240" w:lineRule="auto"/>
        <w:jc w:val="both"/>
        <w:rPr>
          <w:rFonts w:cstheme="minorHAnsi"/>
          <w:sz w:val="20"/>
          <w:szCs w:val="20"/>
        </w:rPr>
      </w:pPr>
      <w:r w:rsidRPr="00A67960">
        <w:rPr>
          <w:rFonts w:cstheme="minorHAnsi"/>
          <w:sz w:val="20"/>
          <w:szCs w:val="20"/>
        </w:rPr>
        <w:t xml:space="preserve">Cash and flexible modalities, in line with CWG recommendations, will be encouraged to ensure assistance addresses specific, individual needs. </w:t>
      </w:r>
    </w:p>
    <w:p w:rsidRPr="00A67960" w:rsidR="00E155B4" w:rsidP="00EB3A60" w:rsidRDefault="00E155B4" w14:paraId="0DD8B92C" w14:textId="198D7E37">
      <w:pPr>
        <w:numPr>
          <w:ilvl w:val="0"/>
          <w:numId w:val="38"/>
        </w:numPr>
        <w:pBdr>
          <w:top w:val="nil"/>
          <w:left w:val="nil"/>
          <w:bottom w:val="nil"/>
          <w:right w:val="nil"/>
          <w:between w:val="nil"/>
        </w:pBdr>
        <w:spacing w:after="0" w:line="240" w:lineRule="auto"/>
        <w:jc w:val="both"/>
        <w:rPr>
          <w:rFonts w:cstheme="minorHAnsi"/>
          <w:sz w:val="20"/>
          <w:szCs w:val="20"/>
        </w:rPr>
      </w:pPr>
      <w:r w:rsidRPr="00A67960">
        <w:rPr>
          <w:rFonts w:cstheme="minorHAnsi"/>
          <w:sz w:val="20"/>
          <w:szCs w:val="20"/>
        </w:rPr>
        <w:t>The Sector aims to reach 2.9 million people with core NFIs and 4.1 million people with seasonal/ supplemental NFIs.</w:t>
      </w:r>
    </w:p>
    <w:p w:rsidRPr="00A67960" w:rsidR="00E155B4" w:rsidP="00E155B4" w:rsidRDefault="00E155B4" w14:paraId="4E447D76" w14:textId="77777777">
      <w:pPr>
        <w:pBdr>
          <w:top w:val="nil"/>
          <w:left w:val="nil"/>
          <w:bottom w:val="nil"/>
          <w:right w:val="nil"/>
          <w:between w:val="nil"/>
        </w:pBdr>
        <w:spacing w:after="0" w:line="240" w:lineRule="auto"/>
        <w:jc w:val="both"/>
        <w:rPr>
          <w:rFonts w:cstheme="minorHAnsi"/>
          <w:sz w:val="20"/>
          <w:szCs w:val="20"/>
        </w:rPr>
      </w:pPr>
      <w:r w:rsidRPr="00A67960">
        <w:rPr>
          <w:rFonts w:cstheme="minorHAnsi"/>
          <w:sz w:val="20"/>
          <w:szCs w:val="20"/>
          <w:u w:val="single"/>
        </w:rPr>
        <w:t>Shelter Priorities</w:t>
      </w:r>
      <w:r w:rsidRPr="00A67960">
        <w:rPr>
          <w:rFonts w:cstheme="minorHAnsi"/>
          <w:sz w:val="20"/>
          <w:szCs w:val="20"/>
        </w:rPr>
        <w:t>:</w:t>
      </w:r>
    </w:p>
    <w:p w:rsidRPr="00A67960" w:rsidR="00E155B4" w:rsidP="00E155B4" w:rsidRDefault="00E155B4" w14:paraId="348E05B7" w14:textId="2C5B295C">
      <w:pPr>
        <w:pStyle w:val="ListParagraph"/>
        <w:numPr>
          <w:ilvl w:val="0"/>
          <w:numId w:val="39"/>
        </w:numPr>
        <w:pBdr>
          <w:top w:val="nil"/>
          <w:left w:val="nil"/>
          <w:bottom w:val="nil"/>
          <w:right w:val="nil"/>
          <w:between w:val="nil"/>
        </w:pBdr>
        <w:contextualSpacing/>
        <w:jc w:val="both"/>
        <w:rPr>
          <w:rFonts w:asciiTheme="minorHAnsi" w:hAnsiTheme="minorHAnsi" w:cstheme="minorBidi"/>
          <w:sz w:val="20"/>
          <w:szCs w:val="20"/>
        </w:rPr>
      </w:pPr>
      <w:r w:rsidRPr="1F49E435">
        <w:rPr>
          <w:rFonts w:asciiTheme="minorHAnsi" w:hAnsiTheme="minorHAnsi" w:cstheme="minorBidi"/>
          <w:sz w:val="20"/>
          <w:szCs w:val="20"/>
        </w:rPr>
        <w:t xml:space="preserve">Life-saving emergency response through installation and repair of tents, distribution of shelters kits, and repairs in formal camps, informal settlements, transit sites and collective centers. These activities will focus on reducing overcrowding and improving sanitation. </w:t>
      </w:r>
    </w:p>
    <w:p w:rsidRPr="00A67960" w:rsidR="00E155B4" w:rsidP="00E155B4" w:rsidRDefault="00E155B4" w14:paraId="477DFBE5" w14:textId="13924890">
      <w:pPr>
        <w:pStyle w:val="ListParagraph"/>
        <w:numPr>
          <w:ilvl w:val="0"/>
          <w:numId w:val="39"/>
        </w:numPr>
        <w:pBdr>
          <w:top w:val="nil"/>
          <w:left w:val="nil"/>
          <w:bottom w:val="nil"/>
          <w:right w:val="nil"/>
          <w:between w:val="nil"/>
        </w:pBdr>
        <w:contextualSpacing/>
        <w:jc w:val="both"/>
        <w:rPr>
          <w:rFonts w:asciiTheme="minorHAnsi" w:hAnsiTheme="minorHAnsi" w:cstheme="minorHAnsi"/>
          <w:sz w:val="20"/>
          <w:szCs w:val="20"/>
        </w:rPr>
      </w:pPr>
      <w:r w:rsidRPr="00A67960">
        <w:rPr>
          <w:rFonts w:asciiTheme="minorHAnsi" w:hAnsiTheme="minorHAnsi" w:cstheme="minorHAnsi"/>
          <w:sz w:val="20"/>
          <w:szCs w:val="20"/>
        </w:rPr>
        <w:t xml:space="preserve">The Sector is targeting 1.2 million people with emergency support; however, this may vary depending on the displacement context. </w:t>
      </w:r>
    </w:p>
    <w:p w:rsidRPr="00A67960" w:rsidR="00E155B4" w:rsidP="00E155B4" w:rsidRDefault="00E155B4" w14:paraId="196ECE02" w14:textId="1CA9E626">
      <w:pPr>
        <w:pStyle w:val="ListParagraph"/>
        <w:numPr>
          <w:ilvl w:val="0"/>
          <w:numId w:val="39"/>
        </w:numPr>
        <w:pBdr>
          <w:top w:val="nil"/>
          <w:left w:val="nil"/>
          <w:bottom w:val="nil"/>
          <w:right w:val="nil"/>
          <w:between w:val="nil"/>
        </w:pBdr>
        <w:contextualSpacing/>
        <w:jc w:val="both"/>
        <w:rPr>
          <w:rFonts w:asciiTheme="minorHAnsi" w:hAnsiTheme="minorHAnsi" w:cstheme="minorHAnsi"/>
          <w:sz w:val="20"/>
          <w:szCs w:val="20"/>
        </w:rPr>
      </w:pPr>
      <w:r w:rsidRPr="00A67960">
        <w:rPr>
          <w:rFonts w:asciiTheme="minorHAnsi" w:hAnsiTheme="minorHAnsi" w:cstheme="minorHAnsi"/>
          <w:sz w:val="20"/>
          <w:szCs w:val="20"/>
        </w:rPr>
        <w:t xml:space="preserve">Strengthening vulnerable communities by improving access to housing and related community infrastructure; activities include dignified shelter solutions for those in protracted displacement, </w:t>
      </w:r>
      <w:r w:rsidRPr="00EB3A60">
        <w:rPr>
          <w:rFonts w:cstheme="minorHAnsi"/>
          <w:sz w:val="20"/>
          <w:szCs w:val="20"/>
        </w:rPr>
        <w:t xml:space="preserve">housing repair to support safe return, Housing, Land and Property (HLP) advocacy, and associated small-scale infrastructure that is part of an integrated response. </w:t>
      </w:r>
    </w:p>
    <w:p w:rsidRPr="002011E6" w:rsidR="00E155B4" w:rsidP="00EB3A60" w:rsidRDefault="00E155B4" w14:paraId="1BF77647" w14:textId="5BBED8FE">
      <w:pPr>
        <w:pStyle w:val="ListParagraph"/>
        <w:numPr>
          <w:ilvl w:val="0"/>
          <w:numId w:val="39"/>
        </w:numPr>
      </w:pPr>
      <w:r w:rsidRPr="00EB3A60">
        <w:rPr>
          <w:rFonts w:cstheme="minorHAnsi"/>
          <w:sz w:val="20"/>
          <w:szCs w:val="20"/>
        </w:rPr>
        <w:t xml:space="preserve">The Sector aims to address 1.5 million people which is based on previous years’ experience, partner capacity, and expected funding. </w:t>
      </w:r>
    </w:p>
    <w:p w:rsidR="000B08E5" w:rsidP="00EA1163" w:rsidRDefault="000B08E5" w14:paraId="55984AB0" w14:textId="77777777">
      <w:pPr>
        <w:pStyle w:val="ListParagraph"/>
        <w:spacing w:after="160"/>
        <w:ind w:left="360"/>
        <w:contextualSpacing/>
        <w:jc w:val="both"/>
        <w:rPr>
          <w:b/>
          <w:bCs/>
          <w:sz w:val="20"/>
          <w:szCs w:val="20"/>
        </w:rPr>
      </w:pPr>
    </w:p>
    <w:p w:rsidRPr="002011E6" w:rsidR="00E155B4" w:rsidP="00EA1163" w:rsidRDefault="00E155B4" w14:paraId="57B52737" w14:textId="4E83D387">
      <w:pPr>
        <w:pStyle w:val="ListParagraph"/>
        <w:numPr>
          <w:ilvl w:val="0"/>
          <w:numId w:val="37"/>
        </w:numPr>
        <w:spacing w:after="160"/>
        <w:contextualSpacing/>
        <w:jc w:val="both"/>
      </w:pPr>
      <w:r w:rsidRPr="005374CC">
        <w:rPr>
          <w:b/>
          <w:bCs/>
          <w:sz w:val="20"/>
          <w:szCs w:val="20"/>
        </w:rPr>
        <w:t xml:space="preserve">Key messages to donors as at June 2021 (which the HCs could help amplify): </w:t>
      </w:r>
    </w:p>
    <w:p w:rsidRPr="007F40E2" w:rsidR="00E155B4" w:rsidP="00E155B4" w:rsidRDefault="00E155B4" w14:paraId="5BAE3B8D" w14:textId="77777777">
      <w:pPr>
        <w:numPr>
          <w:ilvl w:val="0"/>
          <w:numId w:val="40"/>
        </w:numPr>
        <w:pBdr>
          <w:top w:val="nil"/>
          <w:left w:val="nil"/>
          <w:bottom w:val="nil"/>
          <w:right w:val="nil"/>
          <w:between w:val="nil"/>
        </w:pBdr>
        <w:spacing w:after="0" w:line="240" w:lineRule="auto"/>
        <w:jc w:val="both"/>
        <w:rPr>
          <w:rFonts w:cstheme="minorHAnsi"/>
          <w:sz w:val="20"/>
          <w:szCs w:val="20"/>
        </w:rPr>
      </w:pPr>
      <w:r w:rsidRPr="007F40E2">
        <w:rPr>
          <w:rFonts w:cstheme="minorHAnsi"/>
          <w:sz w:val="20"/>
          <w:szCs w:val="20"/>
        </w:rPr>
        <w:t>Although the budget requested is less than 2020, at the mid-year, partners are better apprised of their capacities, available resources, and operational access.</w:t>
      </w:r>
    </w:p>
    <w:p w:rsidRPr="007F40E2" w:rsidR="00E155B4" w:rsidP="00E155B4" w:rsidRDefault="00E155B4" w14:paraId="462F7081" w14:textId="77777777">
      <w:pPr>
        <w:numPr>
          <w:ilvl w:val="0"/>
          <w:numId w:val="40"/>
        </w:numPr>
        <w:pBdr>
          <w:top w:val="nil"/>
          <w:left w:val="nil"/>
          <w:bottom w:val="nil"/>
          <w:right w:val="nil"/>
          <w:between w:val="nil"/>
        </w:pBdr>
        <w:spacing w:after="0" w:line="240" w:lineRule="auto"/>
        <w:jc w:val="both"/>
        <w:rPr>
          <w:rFonts w:cstheme="minorHAnsi"/>
          <w:sz w:val="20"/>
          <w:szCs w:val="20"/>
        </w:rPr>
      </w:pPr>
      <w:r w:rsidRPr="007F40E2">
        <w:rPr>
          <w:rFonts w:cstheme="minorHAnsi"/>
          <w:sz w:val="20"/>
          <w:szCs w:val="20"/>
        </w:rPr>
        <w:t>Limited funding will hamper the Sectors’ capacity to respond to pressing needs of vulnerable households, many whose situations have further deteriorated due to protracted displacement, the economic downturn and loss of livelihoods as well as the impact from COVID-19.</w:t>
      </w:r>
    </w:p>
    <w:p w:rsidRPr="007F40E2" w:rsidR="00E155B4" w:rsidP="00E155B4" w:rsidRDefault="00E155B4" w14:paraId="24FBEE5D" w14:textId="77777777">
      <w:pPr>
        <w:numPr>
          <w:ilvl w:val="0"/>
          <w:numId w:val="40"/>
        </w:numPr>
        <w:pBdr>
          <w:top w:val="nil"/>
          <w:left w:val="nil"/>
          <w:bottom w:val="nil"/>
          <w:right w:val="nil"/>
          <w:between w:val="nil"/>
        </w:pBdr>
        <w:spacing w:after="0" w:line="240" w:lineRule="auto"/>
        <w:jc w:val="both"/>
        <w:rPr>
          <w:rFonts w:cstheme="minorHAnsi"/>
          <w:sz w:val="20"/>
          <w:szCs w:val="20"/>
        </w:rPr>
      </w:pPr>
      <w:r w:rsidRPr="007F40E2">
        <w:rPr>
          <w:rFonts w:cstheme="minorHAnsi"/>
          <w:sz w:val="20"/>
          <w:szCs w:val="20"/>
        </w:rPr>
        <w:t>The NFI response has begun to shift from the core NFIs to seasonal and supplemental assistance to meet the ongoing gaps related to protracted displacement and ensure an increasing number of families can be safely protected from the elements.</w:t>
      </w:r>
    </w:p>
    <w:p w:rsidRPr="002011E6" w:rsidR="00E155B4" w:rsidP="00E155B4" w:rsidRDefault="00E155B4" w14:paraId="04BEAFA6" w14:textId="0E7C6EFB">
      <w:pPr>
        <w:numPr>
          <w:ilvl w:val="0"/>
          <w:numId w:val="40"/>
        </w:numPr>
        <w:pBdr>
          <w:top w:val="nil"/>
          <w:left w:val="nil"/>
          <w:bottom w:val="nil"/>
          <w:right w:val="nil"/>
          <w:between w:val="nil"/>
        </w:pBdr>
        <w:spacing w:after="0" w:line="240" w:lineRule="auto"/>
        <w:jc w:val="both"/>
        <w:rPr>
          <w:rFonts w:asciiTheme="majorHAnsi" w:hAnsiTheme="majorHAnsi" w:cstheme="majorHAnsi"/>
          <w:b/>
          <w:sz w:val="20"/>
          <w:szCs w:val="20"/>
        </w:rPr>
      </w:pPr>
      <w:r w:rsidRPr="007F40E2">
        <w:rPr>
          <w:rFonts w:cstheme="minorHAnsi"/>
          <w:sz w:val="20"/>
          <w:szCs w:val="20"/>
        </w:rPr>
        <w:t>Shelter support is critical both for basic infrastructure and supplies in last resort sites, informal settlements, camps and collective shelters as well as repair to damaged homes to address many of the underlying needs that have severe implications on people’s health, protection and resilience.</w:t>
      </w:r>
      <w:r w:rsidRPr="002011E6">
        <w:rPr>
          <w:rFonts w:asciiTheme="majorHAnsi" w:hAnsiTheme="majorHAnsi" w:cstheme="majorHAnsi"/>
          <w:sz w:val="20"/>
          <w:szCs w:val="20"/>
        </w:rPr>
        <w:t xml:space="preserve"> </w:t>
      </w:r>
    </w:p>
    <w:p w:rsidRPr="002011E6" w:rsidR="00E155B4" w:rsidP="00E155B4" w:rsidRDefault="00E155B4" w14:paraId="25D5C9EE" w14:textId="77777777">
      <w:pPr>
        <w:spacing w:after="0" w:line="240" w:lineRule="auto"/>
        <w:rPr>
          <w:rFonts w:asciiTheme="majorHAnsi" w:hAnsiTheme="majorHAnsi" w:cstheme="majorHAnsi"/>
          <w:sz w:val="20"/>
          <w:szCs w:val="20"/>
        </w:rPr>
      </w:pPr>
    </w:p>
    <w:p w:rsidRPr="00C016CD" w:rsidR="00E155B4" w:rsidP="005755AB" w:rsidRDefault="00E155B4" w14:paraId="15B0778B" w14:textId="70FDA889">
      <w:pPr>
        <w:pBdr>
          <w:top w:val="nil"/>
          <w:left w:val="nil"/>
          <w:bottom w:val="nil"/>
          <w:right w:val="nil"/>
          <w:between w:val="nil"/>
        </w:pBdr>
        <w:spacing w:after="0" w:line="240" w:lineRule="auto"/>
        <w:rPr>
          <w:rFonts w:asciiTheme="majorHAnsi" w:hAnsiTheme="majorHAnsi" w:cstheme="majorHAnsi"/>
          <w:b/>
          <w:sz w:val="20"/>
          <w:szCs w:val="20"/>
        </w:rPr>
      </w:pPr>
      <w:r w:rsidRPr="00C016CD">
        <w:rPr>
          <w:rFonts w:asciiTheme="majorHAnsi" w:hAnsiTheme="majorHAnsi" w:cstheme="majorHAnsi"/>
          <w:b/>
          <w:sz w:val="20"/>
          <w:szCs w:val="20"/>
        </w:rPr>
        <w:t xml:space="preserve">Top appealing organizations in the sector: </w:t>
      </w:r>
    </w:p>
    <w:p w:rsidRPr="002011E6" w:rsidR="00E155B4" w:rsidP="00E155B4" w:rsidRDefault="00E155B4" w14:paraId="1FC6B1DD" w14:textId="560436D6">
      <w:pPr>
        <w:pBdr>
          <w:top w:val="nil"/>
          <w:left w:val="nil"/>
          <w:bottom w:val="nil"/>
          <w:right w:val="nil"/>
          <w:between w:val="nil"/>
        </w:pBdr>
        <w:spacing w:after="0" w:line="240" w:lineRule="auto"/>
        <w:ind w:left="792"/>
        <w:rPr>
          <w:rFonts w:asciiTheme="majorHAnsi" w:hAnsiTheme="majorHAnsi" w:cstheme="majorHAnsi"/>
          <w:sz w:val="20"/>
          <w:szCs w:val="20"/>
        </w:rPr>
      </w:pPr>
    </w:p>
    <w:tbl>
      <w:tblPr>
        <w:tblW w:w="11028" w:type="dxa"/>
        <w:tblLook w:val="04A0" w:firstRow="1" w:lastRow="0" w:firstColumn="1" w:lastColumn="0" w:noHBand="0" w:noVBand="1"/>
      </w:tblPr>
      <w:tblGrid>
        <w:gridCol w:w="2777"/>
        <w:gridCol w:w="1231"/>
        <w:gridCol w:w="1148"/>
        <w:gridCol w:w="1231"/>
        <w:gridCol w:w="896"/>
        <w:gridCol w:w="3745"/>
      </w:tblGrid>
      <w:tr w:rsidRPr="004D7B93" w:rsidR="004D7B93" w:rsidTr="00FC3076" w14:paraId="421A6C69" w14:textId="77777777">
        <w:trPr>
          <w:trHeight w:val="418"/>
        </w:trPr>
        <w:tc>
          <w:tcPr>
            <w:tcW w:w="2777" w:type="dxa"/>
            <w:tcBorders>
              <w:top w:val="single" w:color="4472C4" w:sz="4" w:space="0"/>
              <w:left w:val="single" w:color="4472C4" w:sz="4" w:space="0"/>
              <w:bottom w:val="nil"/>
              <w:right w:val="nil"/>
            </w:tcBorders>
            <w:shd w:val="clear" w:color="4472C4" w:fill="4472C4"/>
            <w:vAlign w:val="center"/>
            <w:hideMark/>
          </w:tcPr>
          <w:p w:rsidRPr="004D7B93" w:rsidR="004D7B93" w:rsidP="004D7B93" w:rsidRDefault="004D7B93" w14:paraId="614B6D2F" w14:textId="77777777">
            <w:pPr>
              <w:spacing w:after="0" w:line="240" w:lineRule="auto"/>
              <w:rPr>
                <w:rFonts w:ascii="Calibri" w:hAnsi="Calibri" w:eastAsia="Times New Roman" w:cs="Times New Roman"/>
                <w:b/>
                <w:bCs/>
                <w:color w:val="FFFFFF"/>
                <w:sz w:val="18"/>
                <w:szCs w:val="18"/>
                <w:lang w:eastAsia="zh-CN"/>
              </w:rPr>
            </w:pPr>
            <w:r w:rsidRPr="004D7B93">
              <w:rPr>
                <w:rFonts w:ascii="Calibri" w:hAnsi="Calibri" w:eastAsia="Times New Roman" w:cs="Times New Roman"/>
                <w:b/>
                <w:bCs/>
                <w:color w:val="FFFFFF"/>
                <w:sz w:val="18"/>
                <w:szCs w:val="18"/>
                <w:lang w:eastAsia="zh-CN"/>
              </w:rPr>
              <w:t>Organizations</w:t>
            </w:r>
          </w:p>
        </w:tc>
        <w:tc>
          <w:tcPr>
            <w:tcW w:w="1231" w:type="dxa"/>
            <w:tcBorders>
              <w:top w:val="single" w:color="4472C4" w:sz="4" w:space="0"/>
              <w:left w:val="nil"/>
              <w:bottom w:val="nil"/>
              <w:right w:val="nil"/>
            </w:tcBorders>
            <w:shd w:val="clear" w:color="4472C4" w:fill="4472C4"/>
            <w:vAlign w:val="bottom"/>
            <w:hideMark/>
          </w:tcPr>
          <w:p w:rsidRPr="004D7B93" w:rsidR="004D7B93" w:rsidP="004D7B93" w:rsidRDefault="004D7B93" w14:paraId="25A893B8" w14:textId="77777777">
            <w:pPr>
              <w:spacing w:after="0" w:line="240" w:lineRule="auto"/>
              <w:jc w:val="right"/>
              <w:rPr>
                <w:rFonts w:ascii="Calibri" w:hAnsi="Calibri" w:eastAsia="Times New Roman" w:cs="Times New Roman"/>
                <w:b/>
                <w:bCs/>
                <w:color w:val="FFFFFF"/>
                <w:sz w:val="18"/>
                <w:szCs w:val="18"/>
                <w:lang w:eastAsia="zh-CN"/>
              </w:rPr>
            </w:pPr>
            <w:r w:rsidRPr="004D7B93">
              <w:rPr>
                <w:rFonts w:ascii="Calibri" w:hAnsi="Calibri" w:eastAsia="Times New Roman" w:cs="Times New Roman"/>
                <w:b/>
                <w:bCs/>
                <w:color w:val="FFFFFF"/>
                <w:sz w:val="18"/>
                <w:szCs w:val="18"/>
                <w:lang w:eastAsia="zh-CN"/>
              </w:rPr>
              <w:t xml:space="preserve"> 2020 requirements US$ </w:t>
            </w:r>
          </w:p>
        </w:tc>
        <w:tc>
          <w:tcPr>
            <w:tcW w:w="1148" w:type="dxa"/>
            <w:tcBorders>
              <w:top w:val="single" w:color="4472C4" w:sz="4" w:space="0"/>
              <w:left w:val="nil"/>
              <w:bottom w:val="nil"/>
              <w:right w:val="nil"/>
            </w:tcBorders>
            <w:shd w:val="clear" w:color="4472C4" w:fill="4472C4"/>
            <w:vAlign w:val="bottom"/>
            <w:hideMark/>
          </w:tcPr>
          <w:p w:rsidRPr="004D7B93" w:rsidR="004D7B93" w:rsidP="004D7B93" w:rsidRDefault="004D7B93" w14:paraId="4F37C60C" w14:textId="77777777">
            <w:pPr>
              <w:spacing w:after="0" w:line="240" w:lineRule="auto"/>
              <w:jc w:val="right"/>
              <w:rPr>
                <w:rFonts w:ascii="Calibri" w:hAnsi="Calibri" w:eastAsia="Times New Roman" w:cs="Times New Roman"/>
                <w:b/>
                <w:bCs/>
                <w:color w:val="FFFFFF"/>
                <w:sz w:val="18"/>
                <w:szCs w:val="18"/>
                <w:lang w:eastAsia="zh-CN"/>
              </w:rPr>
            </w:pPr>
            <w:r w:rsidRPr="004D7B93">
              <w:rPr>
                <w:rFonts w:ascii="Calibri" w:hAnsi="Calibri" w:eastAsia="Times New Roman" w:cs="Times New Roman"/>
                <w:b/>
                <w:bCs/>
                <w:color w:val="FFFFFF"/>
                <w:sz w:val="18"/>
                <w:szCs w:val="18"/>
                <w:lang w:eastAsia="zh-CN"/>
              </w:rPr>
              <w:t xml:space="preserve">2020 </w:t>
            </w:r>
            <w:r w:rsidRPr="004D7B93">
              <w:rPr>
                <w:rFonts w:ascii="Calibri" w:hAnsi="Calibri" w:eastAsia="Times New Roman" w:cs="Times New Roman"/>
                <w:b/>
                <w:bCs/>
                <w:color w:val="FFFFFF"/>
                <w:sz w:val="18"/>
                <w:szCs w:val="18"/>
                <w:lang w:eastAsia="zh-CN"/>
              </w:rPr>
              <w:br/>
            </w:r>
            <w:r w:rsidRPr="004D7B93">
              <w:rPr>
                <w:rFonts w:ascii="Calibri" w:hAnsi="Calibri" w:eastAsia="Times New Roman" w:cs="Times New Roman"/>
                <w:b/>
                <w:bCs/>
                <w:color w:val="FFFFFF"/>
                <w:sz w:val="18"/>
                <w:szCs w:val="18"/>
                <w:lang w:eastAsia="zh-CN"/>
              </w:rPr>
              <w:t>Coverage %</w:t>
            </w:r>
          </w:p>
        </w:tc>
        <w:tc>
          <w:tcPr>
            <w:tcW w:w="1231" w:type="dxa"/>
            <w:tcBorders>
              <w:top w:val="single" w:color="4472C4" w:sz="4" w:space="0"/>
              <w:left w:val="nil"/>
              <w:bottom w:val="nil"/>
              <w:right w:val="nil"/>
            </w:tcBorders>
            <w:shd w:val="clear" w:color="4472C4" w:fill="4472C4"/>
            <w:vAlign w:val="bottom"/>
            <w:hideMark/>
          </w:tcPr>
          <w:p w:rsidRPr="004D7B93" w:rsidR="004D7B93" w:rsidP="004D7B93" w:rsidRDefault="004D7B93" w14:paraId="29B589C9" w14:textId="77777777">
            <w:pPr>
              <w:spacing w:after="0" w:line="240" w:lineRule="auto"/>
              <w:jc w:val="right"/>
              <w:rPr>
                <w:rFonts w:ascii="Calibri" w:hAnsi="Calibri" w:eastAsia="Times New Roman" w:cs="Times New Roman"/>
                <w:b/>
                <w:bCs/>
                <w:color w:val="FFFFFF"/>
                <w:sz w:val="18"/>
                <w:szCs w:val="18"/>
                <w:lang w:eastAsia="zh-CN"/>
              </w:rPr>
            </w:pPr>
            <w:r w:rsidRPr="004D7B93">
              <w:rPr>
                <w:rFonts w:ascii="Calibri" w:hAnsi="Calibri" w:eastAsia="Times New Roman" w:cs="Times New Roman"/>
                <w:b/>
                <w:bCs/>
                <w:color w:val="FFFFFF"/>
                <w:sz w:val="18"/>
                <w:szCs w:val="18"/>
                <w:lang w:eastAsia="zh-CN"/>
              </w:rPr>
              <w:t xml:space="preserve"> 2021 requirements US$ </w:t>
            </w:r>
          </w:p>
        </w:tc>
        <w:tc>
          <w:tcPr>
            <w:tcW w:w="896" w:type="dxa"/>
            <w:tcBorders>
              <w:top w:val="single" w:color="4472C4" w:sz="4" w:space="0"/>
              <w:left w:val="nil"/>
              <w:bottom w:val="nil"/>
              <w:right w:val="nil"/>
            </w:tcBorders>
            <w:shd w:val="clear" w:color="4472C4" w:fill="4472C4"/>
            <w:vAlign w:val="bottom"/>
            <w:hideMark/>
          </w:tcPr>
          <w:p w:rsidRPr="004D7B93" w:rsidR="004D7B93" w:rsidP="004D7B93" w:rsidRDefault="004D7B93" w14:paraId="3473AC2D" w14:textId="77777777">
            <w:pPr>
              <w:spacing w:after="0" w:line="240" w:lineRule="auto"/>
              <w:jc w:val="right"/>
              <w:rPr>
                <w:rFonts w:ascii="Calibri" w:hAnsi="Calibri" w:eastAsia="Times New Roman" w:cs="Times New Roman"/>
                <w:b/>
                <w:bCs/>
                <w:color w:val="FFFFFF"/>
                <w:sz w:val="18"/>
                <w:szCs w:val="18"/>
                <w:lang w:eastAsia="zh-CN"/>
              </w:rPr>
            </w:pPr>
            <w:r w:rsidRPr="004D7B93">
              <w:rPr>
                <w:rFonts w:ascii="Calibri" w:hAnsi="Calibri" w:eastAsia="Times New Roman" w:cs="Times New Roman"/>
                <w:b/>
                <w:bCs/>
                <w:color w:val="FFFFFF"/>
                <w:sz w:val="18"/>
                <w:szCs w:val="18"/>
                <w:lang w:eastAsia="zh-CN"/>
              </w:rPr>
              <w:t>% variation to 2020</w:t>
            </w:r>
          </w:p>
        </w:tc>
        <w:tc>
          <w:tcPr>
            <w:tcW w:w="3745" w:type="dxa"/>
            <w:tcBorders>
              <w:top w:val="single" w:color="4472C4" w:sz="4" w:space="0"/>
              <w:left w:val="nil"/>
              <w:bottom w:val="nil"/>
              <w:right w:val="single" w:color="4472C4" w:sz="4" w:space="0"/>
            </w:tcBorders>
            <w:shd w:val="clear" w:color="4472C4" w:fill="4472C4"/>
            <w:vAlign w:val="bottom"/>
            <w:hideMark/>
          </w:tcPr>
          <w:p w:rsidRPr="004D7B93" w:rsidR="004D7B93" w:rsidP="004D7B93" w:rsidRDefault="004D7B93" w14:paraId="54A1111D" w14:textId="77777777">
            <w:pPr>
              <w:spacing w:after="0" w:line="240" w:lineRule="auto"/>
              <w:rPr>
                <w:rFonts w:ascii="Calibri" w:hAnsi="Calibri" w:eastAsia="Times New Roman" w:cs="Times New Roman"/>
                <w:b/>
                <w:bCs/>
                <w:color w:val="FFFFFF"/>
                <w:sz w:val="18"/>
                <w:szCs w:val="18"/>
                <w:lang w:eastAsia="zh-CN"/>
              </w:rPr>
            </w:pPr>
            <w:r w:rsidRPr="004D7B93">
              <w:rPr>
                <w:rFonts w:ascii="Calibri" w:hAnsi="Calibri" w:eastAsia="Times New Roman" w:cs="Times New Roman"/>
                <w:b/>
                <w:bCs/>
                <w:color w:val="FFFFFF"/>
                <w:sz w:val="18"/>
                <w:szCs w:val="18"/>
                <w:lang w:eastAsia="zh-CN"/>
              </w:rPr>
              <w:t xml:space="preserve"> Geographic coverage</w:t>
            </w:r>
            <w:r w:rsidRPr="004D7B93">
              <w:rPr>
                <w:rFonts w:ascii="Calibri" w:hAnsi="Calibri" w:eastAsia="Times New Roman" w:cs="Times New Roman"/>
                <w:b/>
                <w:bCs/>
                <w:color w:val="FFFFFF"/>
                <w:sz w:val="18"/>
                <w:szCs w:val="18"/>
                <w:lang w:eastAsia="zh-CN"/>
              </w:rPr>
              <w:br/>
            </w:r>
            <w:r w:rsidRPr="004D7B93">
              <w:rPr>
                <w:rFonts w:ascii="Calibri" w:hAnsi="Calibri" w:eastAsia="Times New Roman" w:cs="Times New Roman"/>
                <w:b/>
                <w:bCs/>
                <w:color w:val="FFFFFF"/>
                <w:sz w:val="18"/>
                <w:szCs w:val="18"/>
                <w:lang w:eastAsia="zh-CN"/>
              </w:rPr>
              <w:t xml:space="preserve">(main governorates) </w:t>
            </w:r>
          </w:p>
        </w:tc>
      </w:tr>
      <w:tr w:rsidRPr="004D7B93" w:rsidR="004D7B93" w:rsidTr="00FC3076" w14:paraId="7E3028E6" w14:textId="77777777">
        <w:trPr>
          <w:trHeight w:val="407"/>
        </w:trPr>
        <w:tc>
          <w:tcPr>
            <w:tcW w:w="2777" w:type="dxa"/>
            <w:tcBorders>
              <w:top w:val="single" w:color="4472C4" w:sz="4" w:space="0"/>
              <w:left w:val="single" w:color="4472C4" w:sz="4" w:space="0"/>
              <w:bottom w:val="nil"/>
              <w:right w:val="nil"/>
            </w:tcBorders>
            <w:shd w:val="clear" w:color="auto" w:fill="auto"/>
            <w:vAlign w:val="center"/>
            <w:hideMark/>
          </w:tcPr>
          <w:p w:rsidRPr="004D7B93" w:rsidR="004D7B93" w:rsidP="004D7B93" w:rsidRDefault="004D7B93" w14:paraId="0ABDE10C"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United Nations High Commissioner for Refugees</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316F483A"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 xml:space="preserve">              271,454,664 </w:t>
            </w:r>
          </w:p>
        </w:tc>
        <w:tc>
          <w:tcPr>
            <w:tcW w:w="1148" w:type="dxa"/>
            <w:tcBorders>
              <w:top w:val="single" w:color="4472C4" w:sz="4" w:space="0"/>
              <w:left w:val="nil"/>
              <w:bottom w:val="nil"/>
              <w:right w:val="nil"/>
            </w:tcBorders>
            <w:shd w:val="clear" w:color="000000" w:fill="FFCCCC"/>
            <w:noWrap/>
            <w:vAlign w:val="bottom"/>
            <w:hideMark/>
          </w:tcPr>
          <w:p w:rsidRPr="004D7B93" w:rsidR="004D7B93" w:rsidP="004D7B93" w:rsidRDefault="004D7B93" w14:paraId="15329BC2"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1%</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518E2E47" w14:textId="77777777">
            <w:pPr>
              <w:spacing w:after="0" w:line="240" w:lineRule="auto"/>
              <w:jc w:val="right"/>
              <w:rPr>
                <w:rFonts w:ascii="Calibri" w:hAnsi="Calibri" w:eastAsia="Times New Roman" w:cs="Times New Roman"/>
                <w:b/>
                <w:bCs/>
                <w:color w:val="000000"/>
                <w:sz w:val="18"/>
                <w:szCs w:val="18"/>
                <w:lang w:eastAsia="zh-CN"/>
              </w:rPr>
            </w:pPr>
            <w:r w:rsidRPr="004D7B93">
              <w:rPr>
                <w:rFonts w:ascii="Calibri" w:hAnsi="Calibri" w:eastAsia="Times New Roman" w:cs="Times New Roman"/>
                <w:b/>
                <w:bCs/>
                <w:color w:val="000000"/>
                <w:sz w:val="18"/>
                <w:szCs w:val="18"/>
                <w:lang w:eastAsia="zh-CN"/>
              </w:rPr>
              <w:t xml:space="preserve">              253,973,236 </w:t>
            </w:r>
          </w:p>
        </w:tc>
        <w:tc>
          <w:tcPr>
            <w:tcW w:w="896" w:type="dxa"/>
            <w:tcBorders>
              <w:top w:val="single" w:color="4472C4" w:sz="4" w:space="0"/>
              <w:left w:val="nil"/>
              <w:bottom w:val="nil"/>
              <w:right w:val="nil"/>
            </w:tcBorders>
            <w:shd w:val="clear" w:color="000000" w:fill="C6E0B4"/>
            <w:noWrap/>
            <w:vAlign w:val="bottom"/>
            <w:hideMark/>
          </w:tcPr>
          <w:p w:rsidRPr="004D7B93" w:rsidR="004D7B93" w:rsidP="004D7B93" w:rsidRDefault="004D7B93" w14:paraId="56923A99"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-6%</w:t>
            </w:r>
          </w:p>
        </w:tc>
        <w:tc>
          <w:tcPr>
            <w:tcW w:w="3745" w:type="dxa"/>
            <w:tcBorders>
              <w:top w:val="single" w:color="4472C4" w:sz="4" w:space="0"/>
              <w:left w:val="nil"/>
              <w:bottom w:val="nil"/>
              <w:right w:val="single" w:color="4472C4" w:sz="4" w:space="0"/>
            </w:tcBorders>
            <w:shd w:val="clear" w:color="auto" w:fill="auto"/>
            <w:vAlign w:val="bottom"/>
            <w:hideMark/>
          </w:tcPr>
          <w:p w:rsidRPr="004D7B93" w:rsidR="004D7B93" w:rsidP="004D7B93" w:rsidRDefault="004D7B93" w14:paraId="42DEF37F"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All 14 governorates</w:t>
            </w:r>
          </w:p>
        </w:tc>
      </w:tr>
      <w:tr w:rsidRPr="004D7B93" w:rsidR="004D7B93" w:rsidTr="00FC3076" w14:paraId="14E505A4" w14:textId="77777777">
        <w:trPr>
          <w:trHeight w:val="244"/>
        </w:trPr>
        <w:tc>
          <w:tcPr>
            <w:tcW w:w="2777" w:type="dxa"/>
            <w:tcBorders>
              <w:top w:val="single" w:color="4472C4" w:sz="4" w:space="0"/>
              <w:left w:val="single" w:color="4472C4" w:sz="4" w:space="0"/>
              <w:bottom w:val="nil"/>
              <w:right w:val="nil"/>
            </w:tcBorders>
            <w:shd w:val="clear" w:color="auto" w:fill="auto"/>
            <w:vAlign w:val="center"/>
            <w:hideMark/>
          </w:tcPr>
          <w:p w:rsidRPr="004D7B93" w:rsidR="004D7B93" w:rsidP="004D7B93" w:rsidRDefault="004D7B93" w14:paraId="189DF0A0"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International Organization for Migration</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7E24E158"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 xml:space="preserve">                63,418,613 </w:t>
            </w:r>
          </w:p>
        </w:tc>
        <w:tc>
          <w:tcPr>
            <w:tcW w:w="1148" w:type="dxa"/>
            <w:tcBorders>
              <w:top w:val="single" w:color="4472C4" w:sz="4" w:space="0"/>
              <w:left w:val="nil"/>
              <w:bottom w:val="nil"/>
              <w:right w:val="nil"/>
            </w:tcBorders>
            <w:shd w:val="clear" w:color="000000" w:fill="FFF2CC"/>
            <w:noWrap/>
            <w:vAlign w:val="bottom"/>
            <w:hideMark/>
          </w:tcPr>
          <w:p w:rsidRPr="004D7B93" w:rsidR="004D7B93" w:rsidP="004D7B93" w:rsidRDefault="004D7B93" w14:paraId="67E5E826"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57%</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7A07EB51" w14:textId="77777777">
            <w:pPr>
              <w:spacing w:after="0" w:line="240" w:lineRule="auto"/>
              <w:jc w:val="right"/>
              <w:rPr>
                <w:rFonts w:ascii="Calibri" w:hAnsi="Calibri" w:eastAsia="Times New Roman" w:cs="Times New Roman"/>
                <w:b/>
                <w:bCs/>
                <w:color w:val="000000"/>
                <w:sz w:val="18"/>
                <w:szCs w:val="18"/>
                <w:lang w:eastAsia="zh-CN"/>
              </w:rPr>
            </w:pPr>
            <w:r w:rsidRPr="004D7B93">
              <w:rPr>
                <w:rFonts w:ascii="Calibri" w:hAnsi="Calibri" w:eastAsia="Times New Roman" w:cs="Times New Roman"/>
                <w:b/>
                <w:bCs/>
                <w:color w:val="000000"/>
                <w:sz w:val="18"/>
                <w:szCs w:val="18"/>
                <w:lang w:eastAsia="zh-CN"/>
              </w:rPr>
              <w:t xml:space="preserve">                56,000,000 </w:t>
            </w:r>
          </w:p>
        </w:tc>
        <w:tc>
          <w:tcPr>
            <w:tcW w:w="896" w:type="dxa"/>
            <w:tcBorders>
              <w:top w:val="single" w:color="4472C4" w:sz="4" w:space="0"/>
              <w:left w:val="nil"/>
              <w:bottom w:val="nil"/>
              <w:right w:val="nil"/>
            </w:tcBorders>
            <w:shd w:val="clear" w:color="000000" w:fill="C6E0B4"/>
            <w:noWrap/>
            <w:vAlign w:val="bottom"/>
            <w:hideMark/>
          </w:tcPr>
          <w:p w:rsidRPr="004D7B93" w:rsidR="004D7B93" w:rsidP="004D7B93" w:rsidRDefault="004D7B93" w14:paraId="1CDB89C0"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-12%</w:t>
            </w:r>
          </w:p>
        </w:tc>
        <w:tc>
          <w:tcPr>
            <w:tcW w:w="3745" w:type="dxa"/>
            <w:tcBorders>
              <w:top w:val="single" w:color="4472C4" w:sz="4" w:space="0"/>
              <w:left w:val="nil"/>
              <w:bottom w:val="nil"/>
              <w:right w:val="single" w:color="4472C4" w:sz="4" w:space="0"/>
            </w:tcBorders>
            <w:shd w:val="clear" w:color="auto" w:fill="auto"/>
            <w:vAlign w:val="bottom"/>
            <w:hideMark/>
          </w:tcPr>
          <w:p w:rsidRPr="004D7B93" w:rsidR="004D7B93" w:rsidP="004D7B93" w:rsidRDefault="004D7B93" w14:paraId="2D404007"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4D7B93">
              <w:rPr>
                <w:rFonts w:ascii="Calibri" w:hAnsi="Calibri" w:eastAsia="Times New Roman" w:cs="Times New Roman"/>
                <w:color w:val="000000"/>
                <w:sz w:val="18"/>
                <w:szCs w:val="18"/>
                <w:lang w:eastAsia="zh-CN"/>
              </w:rPr>
              <w:t>Aleppo;Idleb</w:t>
            </w:r>
            <w:proofErr w:type="spellEnd"/>
            <w:proofErr w:type="gramEnd"/>
          </w:p>
        </w:tc>
      </w:tr>
      <w:tr w:rsidRPr="004D7B93" w:rsidR="004D7B93" w:rsidTr="00FC3076" w14:paraId="08D2620D" w14:textId="77777777">
        <w:trPr>
          <w:trHeight w:val="418"/>
        </w:trPr>
        <w:tc>
          <w:tcPr>
            <w:tcW w:w="2777" w:type="dxa"/>
            <w:tcBorders>
              <w:top w:val="single" w:color="4472C4" w:sz="4" w:space="0"/>
              <w:left w:val="single" w:color="4472C4" w:sz="4" w:space="0"/>
              <w:bottom w:val="nil"/>
              <w:right w:val="nil"/>
            </w:tcBorders>
            <w:shd w:val="clear" w:color="auto" w:fill="auto"/>
            <w:vAlign w:val="center"/>
            <w:hideMark/>
          </w:tcPr>
          <w:p w:rsidRPr="004D7B93" w:rsidR="004D7B93" w:rsidP="004D7B93" w:rsidRDefault="004D7B93" w14:paraId="311627CA"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United Nations Relief and Works Agency for Palestine Refugees in the Near East</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3A01479A"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 xml:space="preserve">              </w:t>
            </w:r>
            <w:r w:rsidRPr="00121F32">
              <w:rPr>
                <w:rFonts w:ascii="Calibri" w:hAnsi="Calibri" w:eastAsia="Times New Roman" w:cs="Times New Roman"/>
                <w:color w:val="000000"/>
                <w:sz w:val="18"/>
                <w:szCs w:val="18"/>
                <w:lang w:eastAsia="zh-CN"/>
              </w:rPr>
              <w:t>110,882,042</w:t>
            </w:r>
            <w:r w:rsidRPr="004D7B93">
              <w:rPr>
                <w:rFonts w:ascii="Calibri" w:hAnsi="Calibri" w:eastAsia="Times New Roman" w:cs="Times New Roman"/>
                <w:color w:val="000000"/>
                <w:sz w:val="18"/>
                <w:szCs w:val="18"/>
                <w:lang w:eastAsia="zh-CN"/>
              </w:rPr>
              <w:t xml:space="preserve"> </w:t>
            </w:r>
          </w:p>
        </w:tc>
        <w:tc>
          <w:tcPr>
            <w:tcW w:w="1148" w:type="dxa"/>
            <w:tcBorders>
              <w:top w:val="single" w:color="4472C4" w:sz="4" w:space="0"/>
              <w:left w:val="nil"/>
              <w:bottom w:val="nil"/>
              <w:right w:val="nil"/>
            </w:tcBorders>
            <w:shd w:val="clear" w:color="000000" w:fill="FFCCCC"/>
            <w:noWrap/>
            <w:vAlign w:val="bottom"/>
            <w:hideMark/>
          </w:tcPr>
          <w:p w:rsidRPr="004D7B93" w:rsidR="004D7B93" w:rsidP="004D7B93" w:rsidRDefault="004D7B93" w14:paraId="5E24A2E7"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26%</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3E8A6E74" w14:textId="77777777">
            <w:pPr>
              <w:spacing w:after="0" w:line="240" w:lineRule="auto"/>
              <w:jc w:val="right"/>
              <w:rPr>
                <w:rFonts w:ascii="Calibri" w:hAnsi="Calibri" w:eastAsia="Times New Roman" w:cs="Times New Roman"/>
                <w:b/>
                <w:bCs/>
                <w:color w:val="000000"/>
                <w:sz w:val="18"/>
                <w:szCs w:val="18"/>
                <w:lang w:eastAsia="zh-CN"/>
              </w:rPr>
            </w:pPr>
            <w:r w:rsidRPr="004D7B93">
              <w:rPr>
                <w:rFonts w:ascii="Calibri" w:hAnsi="Calibri" w:eastAsia="Times New Roman" w:cs="Times New Roman"/>
                <w:b/>
                <w:bCs/>
                <w:color w:val="000000"/>
                <w:sz w:val="18"/>
                <w:szCs w:val="18"/>
                <w:lang w:eastAsia="zh-CN"/>
              </w:rPr>
              <w:t xml:space="preserve">                39,543,480 </w:t>
            </w:r>
          </w:p>
        </w:tc>
        <w:tc>
          <w:tcPr>
            <w:tcW w:w="896" w:type="dxa"/>
            <w:tcBorders>
              <w:top w:val="single" w:color="4472C4" w:sz="4" w:space="0"/>
              <w:left w:val="nil"/>
              <w:bottom w:val="nil"/>
              <w:right w:val="nil"/>
            </w:tcBorders>
            <w:shd w:val="clear" w:color="000000" w:fill="C6E0B4"/>
            <w:noWrap/>
            <w:vAlign w:val="bottom"/>
            <w:hideMark/>
          </w:tcPr>
          <w:p w:rsidRPr="004D7B93" w:rsidR="004D7B93" w:rsidP="004D7B93" w:rsidRDefault="004D7B93" w14:paraId="5FBC3F9D"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-64%</w:t>
            </w:r>
          </w:p>
        </w:tc>
        <w:tc>
          <w:tcPr>
            <w:tcW w:w="3745" w:type="dxa"/>
            <w:tcBorders>
              <w:top w:val="single" w:color="4472C4" w:sz="4" w:space="0"/>
              <w:left w:val="nil"/>
              <w:bottom w:val="nil"/>
              <w:right w:val="single" w:color="4472C4" w:sz="4" w:space="0"/>
            </w:tcBorders>
            <w:shd w:val="clear" w:color="auto" w:fill="auto"/>
            <w:vAlign w:val="bottom"/>
            <w:hideMark/>
          </w:tcPr>
          <w:p w:rsidRPr="004D7B93" w:rsidR="004D7B93" w:rsidP="004D7B93" w:rsidRDefault="004D7B93" w14:paraId="53E16451"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4D7B93">
              <w:rPr>
                <w:rFonts w:ascii="Calibri" w:hAnsi="Calibri" w:eastAsia="Times New Roman" w:cs="Times New Roman"/>
                <w:color w:val="000000"/>
                <w:sz w:val="18"/>
                <w:szCs w:val="18"/>
                <w:lang w:eastAsia="zh-CN"/>
              </w:rPr>
              <w:t>Aleppo;Al</w:t>
            </w:r>
            <w:proofErr w:type="gramEnd"/>
            <w:r w:rsidRPr="004D7B93">
              <w:rPr>
                <w:rFonts w:ascii="Calibri" w:hAnsi="Calibri" w:eastAsia="Times New Roman" w:cs="Times New Roman"/>
                <w:color w:val="000000"/>
                <w:sz w:val="18"/>
                <w:szCs w:val="18"/>
                <w:lang w:eastAsia="zh-CN"/>
              </w:rPr>
              <w:t>-Hasakeh</w:t>
            </w:r>
            <w:proofErr w:type="spellEnd"/>
            <w:r w:rsidRPr="004D7B93">
              <w:rPr>
                <w:rFonts w:ascii="Calibri" w:hAnsi="Calibri" w:eastAsia="Times New Roman" w:cs="Times New Roman"/>
                <w:color w:val="000000"/>
                <w:sz w:val="18"/>
                <w:szCs w:val="18"/>
                <w:lang w:eastAsia="zh-CN"/>
              </w:rPr>
              <w:t xml:space="preserve"> As-</w:t>
            </w:r>
            <w:proofErr w:type="spellStart"/>
            <w:r w:rsidRPr="004D7B93">
              <w:rPr>
                <w:rFonts w:ascii="Calibri" w:hAnsi="Calibri" w:eastAsia="Times New Roman" w:cs="Times New Roman"/>
                <w:color w:val="000000"/>
                <w:sz w:val="18"/>
                <w:szCs w:val="18"/>
                <w:lang w:eastAsia="zh-CN"/>
              </w:rPr>
              <w:t>Sweida</w:t>
            </w:r>
            <w:proofErr w:type="spellEnd"/>
            <w:r w:rsidRPr="004D7B93">
              <w:rPr>
                <w:rFonts w:ascii="Calibri" w:hAnsi="Calibri" w:eastAsia="Times New Roman" w:cs="Times New Roman"/>
                <w:color w:val="000000"/>
                <w:sz w:val="18"/>
                <w:szCs w:val="18"/>
                <w:lang w:eastAsia="zh-CN"/>
              </w:rPr>
              <w:t xml:space="preserve">; Damascus; </w:t>
            </w:r>
            <w:proofErr w:type="spellStart"/>
            <w:r w:rsidRPr="004D7B93">
              <w:rPr>
                <w:rFonts w:ascii="Calibri" w:hAnsi="Calibri" w:eastAsia="Times New Roman" w:cs="Times New Roman"/>
                <w:color w:val="000000"/>
                <w:sz w:val="18"/>
                <w:szCs w:val="18"/>
                <w:lang w:eastAsia="zh-CN"/>
              </w:rPr>
              <w:t>Dar'a</w:t>
            </w:r>
            <w:proofErr w:type="spellEnd"/>
            <w:r w:rsidRPr="004D7B93">
              <w:rPr>
                <w:rFonts w:ascii="Calibri" w:hAnsi="Calibri" w:eastAsia="Times New Roman" w:cs="Times New Roman"/>
                <w:color w:val="000000"/>
                <w:sz w:val="18"/>
                <w:szCs w:val="18"/>
                <w:lang w:eastAsia="zh-CN"/>
              </w:rPr>
              <w:t xml:space="preserve"> Hama; Homs </w:t>
            </w:r>
            <w:proofErr w:type="spellStart"/>
            <w:r w:rsidRPr="004D7B93">
              <w:rPr>
                <w:rFonts w:ascii="Calibri" w:hAnsi="Calibri" w:eastAsia="Times New Roman" w:cs="Times New Roman"/>
                <w:color w:val="000000"/>
                <w:sz w:val="18"/>
                <w:szCs w:val="18"/>
                <w:lang w:eastAsia="zh-CN"/>
              </w:rPr>
              <w:t>Lattakia</w:t>
            </w:r>
            <w:proofErr w:type="spellEnd"/>
            <w:r w:rsidRPr="004D7B93">
              <w:rPr>
                <w:rFonts w:ascii="Calibri" w:hAnsi="Calibri" w:eastAsia="Times New Roman" w:cs="Times New Roman"/>
                <w:color w:val="000000"/>
                <w:sz w:val="18"/>
                <w:szCs w:val="18"/>
                <w:lang w:eastAsia="zh-CN"/>
              </w:rPr>
              <w:t>; Quneitra; Rural Damascus; Tartous</w:t>
            </w:r>
          </w:p>
        </w:tc>
      </w:tr>
      <w:tr w:rsidRPr="004D7B93" w:rsidR="004D7B93" w:rsidTr="00FC3076" w14:paraId="0ECCD01C" w14:textId="77777777">
        <w:trPr>
          <w:trHeight w:val="622"/>
        </w:trPr>
        <w:tc>
          <w:tcPr>
            <w:tcW w:w="2777" w:type="dxa"/>
            <w:tcBorders>
              <w:top w:val="single" w:color="4472C4" w:sz="4" w:space="0"/>
              <w:left w:val="single" w:color="4472C4" w:sz="4" w:space="0"/>
              <w:bottom w:val="nil"/>
              <w:right w:val="nil"/>
            </w:tcBorders>
            <w:shd w:val="clear" w:color="auto" w:fill="auto"/>
            <w:vAlign w:val="center"/>
            <w:hideMark/>
          </w:tcPr>
          <w:p w:rsidRPr="004D7B93" w:rsidR="004D7B93" w:rsidP="004D7B93" w:rsidRDefault="004D7B93" w14:paraId="3CCE52E7"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United Nations Children's Fund</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524F4D5F"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 xml:space="preserve">                29,100,822 </w:t>
            </w:r>
          </w:p>
        </w:tc>
        <w:tc>
          <w:tcPr>
            <w:tcW w:w="1148" w:type="dxa"/>
            <w:tcBorders>
              <w:top w:val="single" w:color="4472C4" w:sz="4" w:space="0"/>
              <w:left w:val="nil"/>
              <w:bottom w:val="nil"/>
              <w:right w:val="nil"/>
            </w:tcBorders>
            <w:shd w:val="clear" w:color="000000" w:fill="FFCCCC"/>
            <w:noWrap/>
            <w:vAlign w:val="bottom"/>
            <w:hideMark/>
          </w:tcPr>
          <w:p w:rsidRPr="004D7B93" w:rsidR="004D7B93" w:rsidP="004D7B93" w:rsidRDefault="004D7B93" w14:paraId="47580D1A"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7%</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17FB8540" w14:textId="77777777">
            <w:pPr>
              <w:spacing w:after="0" w:line="240" w:lineRule="auto"/>
              <w:jc w:val="right"/>
              <w:rPr>
                <w:rFonts w:ascii="Calibri" w:hAnsi="Calibri" w:eastAsia="Times New Roman" w:cs="Times New Roman"/>
                <w:b/>
                <w:bCs/>
                <w:color w:val="000000"/>
                <w:sz w:val="18"/>
                <w:szCs w:val="18"/>
                <w:lang w:eastAsia="zh-CN"/>
              </w:rPr>
            </w:pPr>
            <w:r w:rsidRPr="004D7B93">
              <w:rPr>
                <w:rFonts w:ascii="Calibri" w:hAnsi="Calibri" w:eastAsia="Times New Roman" w:cs="Times New Roman"/>
                <w:b/>
                <w:bCs/>
                <w:color w:val="000000"/>
                <w:sz w:val="18"/>
                <w:szCs w:val="18"/>
                <w:lang w:eastAsia="zh-CN"/>
              </w:rPr>
              <w:t xml:space="preserve">                10,950,000 </w:t>
            </w:r>
          </w:p>
        </w:tc>
        <w:tc>
          <w:tcPr>
            <w:tcW w:w="896" w:type="dxa"/>
            <w:tcBorders>
              <w:top w:val="single" w:color="4472C4" w:sz="4" w:space="0"/>
              <w:left w:val="nil"/>
              <w:bottom w:val="nil"/>
              <w:right w:val="nil"/>
            </w:tcBorders>
            <w:shd w:val="clear" w:color="000000" w:fill="C6E0B4"/>
            <w:noWrap/>
            <w:vAlign w:val="bottom"/>
            <w:hideMark/>
          </w:tcPr>
          <w:p w:rsidRPr="004D7B93" w:rsidR="004D7B93" w:rsidP="004D7B93" w:rsidRDefault="004D7B93" w14:paraId="2733A3D2"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-62%</w:t>
            </w:r>
          </w:p>
        </w:tc>
        <w:tc>
          <w:tcPr>
            <w:tcW w:w="3745" w:type="dxa"/>
            <w:tcBorders>
              <w:top w:val="single" w:color="4472C4" w:sz="4" w:space="0"/>
              <w:left w:val="nil"/>
              <w:bottom w:val="nil"/>
              <w:right w:val="single" w:color="4472C4" w:sz="4" w:space="0"/>
            </w:tcBorders>
            <w:shd w:val="clear" w:color="auto" w:fill="auto"/>
            <w:vAlign w:val="bottom"/>
            <w:hideMark/>
          </w:tcPr>
          <w:p w:rsidRPr="004D7B93" w:rsidR="004D7B93" w:rsidP="004D7B93" w:rsidRDefault="004D7B93" w14:paraId="03207247"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Aleppo; Al-</w:t>
            </w:r>
            <w:proofErr w:type="spellStart"/>
            <w:r w:rsidRPr="004D7B93">
              <w:rPr>
                <w:rFonts w:ascii="Calibri" w:hAnsi="Calibri" w:eastAsia="Times New Roman" w:cs="Times New Roman"/>
                <w:color w:val="000000"/>
                <w:sz w:val="18"/>
                <w:szCs w:val="18"/>
                <w:lang w:eastAsia="zh-CN"/>
              </w:rPr>
              <w:t>Hasakeh</w:t>
            </w:r>
            <w:proofErr w:type="spellEnd"/>
            <w:r w:rsidRPr="004D7B93">
              <w:rPr>
                <w:rFonts w:ascii="Calibri" w:hAnsi="Calibri" w:eastAsia="Times New Roman" w:cs="Times New Roman"/>
                <w:color w:val="000000"/>
                <w:sz w:val="18"/>
                <w:szCs w:val="18"/>
                <w:lang w:eastAsia="zh-CN"/>
              </w:rPr>
              <w:t>; Ar-Raqqa; As-</w:t>
            </w:r>
            <w:proofErr w:type="spellStart"/>
            <w:r w:rsidRPr="004D7B93">
              <w:rPr>
                <w:rFonts w:ascii="Calibri" w:hAnsi="Calibri" w:eastAsia="Times New Roman" w:cs="Times New Roman"/>
                <w:color w:val="000000"/>
                <w:sz w:val="18"/>
                <w:szCs w:val="18"/>
                <w:lang w:eastAsia="zh-CN"/>
              </w:rPr>
              <w:t>Sweida</w:t>
            </w:r>
            <w:proofErr w:type="spellEnd"/>
            <w:r w:rsidRPr="004D7B93">
              <w:rPr>
                <w:rFonts w:ascii="Calibri" w:hAnsi="Calibri" w:eastAsia="Times New Roman" w:cs="Times New Roman"/>
                <w:color w:val="000000"/>
                <w:sz w:val="18"/>
                <w:szCs w:val="18"/>
                <w:lang w:eastAsia="zh-CN"/>
              </w:rPr>
              <w:t xml:space="preserve">; Damascus; </w:t>
            </w:r>
            <w:proofErr w:type="spellStart"/>
            <w:r w:rsidRPr="004D7B93">
              <w:rPr>
                <w:rFonts w:ascii="Calibri" w:hAnsi="Calibri" w:eastAsia="Times New Roman" w:cs="Times New Roman"/>
                <w:color w:val="000000"/>
                <w:sz w:val="18"/>
                <w:szCs w:val="18"/>
                <w:lang w:eastAsia="zh-CN"/>
              </w:rPr>
              <w:t>Dar'a</w:t>
            </w:r>
            <w:proofErr w:type="spellEnd"/>
            <w:r w:rsidRPr="004D7B93">
              <w:rPr>
                <w:rFonts w:ascii="Calibri" w:hAnsi="Calibri" w:eastAsia="Times New Roman" w:cs="Times New Roman"/>
                <w:color w:val="000000"/>
                <w:sz w:val="18"/>
                <w:szCs w:val="18"/>
                <w:lang w:eastAsia="zh-CN"/>
              </w:rPr>
              <w:t>; Deir-</w:t>
            </w:r>
            <w:proofErr w:type="spellStart"/>
            <w:r w:rsidRPr="004D7B93">
              <w:rPr>
                <w:rFonts w:ascii="Calibri" w:hAnsi="Calibri" w:eastAsia="Times New Roman" w:cs="Times New Roman"/>
                <w:color w:val="000000"/>
                <w:sz w:val="18"/>
                <w:szCs w:val="18"/>
                <w:lang w:eastAsia="zh-CN"/>
              </w:rPr>
              <w:t>ez</w:t>
            </w:r>
            <w:proofErr w:type="spellEnd"/>
            <w:r w:rsidRPr="004D7B93">
              <w:rPr>
                <w:rFonts w:ascii="Calibri" w:hAnsi="Calibri" w:eastAsia="Times New Roman" w:cs="Times New Roman"/>
                <w:color w:val="000000"/>
                <w:sz w:val="18"/>
                <w:szCs w:val="18"/>
                <w:lang w:eastAsia="zh-CN"/>
              </w:rPr>
              <w:t>-</w:t>
            </w:r>
            <w:proofErr w:type="spellStart"/>
            <w:r w:rsidRPr="004D7B93">
              <w:rPr>
                <w:rFonts w:ascii="Calibri" w:hAnsi="Calibri" w:eastAsia="Times New Roman" w:cs="Times New Roman"/>
                <w:color w:val="000000"/>
                <w:sz w:val="18"/>
                <w:szCs w:val="18"/>
                <w:lang w:eastAsia="zh-CN"/>
              </w:rPr>
              <w:t>Zor</w:t>
            </w:r>
            <w:proofErr w:type="spellEnd"/>
            <w:r w:rsidRPr="004D7B93">
              <w:rPr>
                <w:rFonts w:ascii="Calibri" w:hAnsi="Calibri" w:eastAsia="Times New Roman" w:cs="Times New Roman"/>
                <w:color w:val="000000"/>
                <w:sz w:val="18"/>
                <w:szCs w:val="18"/>
                <w:lang w:eastAsia="zh-CN"/>
              </w:rPr>
              <w:t xml:space="preserve">; Hama; Homs; </w:t>
            </w:r>
            <w:proofErr w:type="spellStart"/>
            <w:proofErr w:type="gramStart"/>
            <w:r w:rsidRPr="004D7B93">
              <w:rPr>
                <w:rFonts w:ascii="Calibri" w:hAnsi="Calibri" w:eastAsia="Times New Roman" w:cs="Times New Roman"/>
                <w:color w:val="000000"/>
                <w:sz w:val="18"/>
                <w:szCs w:val="18"/>
                <w:lang w:eastAsia="zh-CN"/>
              </w:rPr>
              <w:t>Idleb;Lattakia</w:t>
            </w:r>
            <w:proofErr w:type="gramEnd"/>
            <w:r w:rsidRPr="004D7B93">
              <w:rPr>
                <w:rFonts w:ascii="Calibri" w:hAnsi="Calibri" w:eastAsia="Times New Roman" w:cs="Times New Roman"/>
                <w:color w:val="000000"/>
                <w:sz w:val="18"/>
                <w:szCs w:val="18"/>
                <w:lang w:eastAsia="zh-CN"/>
              </w:rPr>
              <w:t>;Quneitra;Rural</w:t>
            </w:r>
            <w:proofErr w:type="spellEnd"/>
            <w:r w:rsidRPr="004D7B93">
              <w:rPr>
                <w:rFonts w:ascii="Calibri" w:hAnsi="Calibri" w:eastAsia="Times New Roman" w:cs="Times New Roman"/>
                <w:color w:val="000000"/>
                <w:sz w:val="18"/>
                <w:szCs w:val="18"/>
                <w:lang w:eastAsia="zh-CN"/>
              </w:rPr>
              <w:t xml:space="preserve"> </w:t>
            </w:r>
            <w:proofErr w:type="spellStart"/>
            <w:r w:rsidRPr="004D7B93">
              <w:rPr>
                <w:rFonts w:ascii="Calibri" w:hAnsi="Calibri" w:eastAsia="Times New Roman" w:cs="Times New Roman"/>
                <w:color w:val="000000"/>
                <w:sz w:val="18"/>
                <w:szCs w:val="18"/>
                <w:lang w:eastAsia="zh-CN"/>
              </w:rPr>
              <w:t>Damascus;Tartous</w:t>
            </w:r>
            <w:proofErr w:type="spellEnd"/>
          </w:p>
        </w:tc>
      </w:tr>
      <w:tr w:rsidRPr="004D7B93" w:rsidR="004D7B93" w:rsidTr="00FC3076" w14:paraId="53EE9E52" w14:textId="77777777">
        <w:trPr>
          <w:trHeight w:val="244"/>
        </w:trPr>
        <w:tc>
          <w:tcPr>
            <w:tcW w:w="2777" w:type="dxa"/>
            <w:tcBorders>
              <w:top w:val="single" w:color="4472C4" w:sz="4" w:space="0"/>
              <w:left w:val="single" w:color="4472C4" w:sz="4" w:space="0"/>
              <w:bottom w:val="nil"/>
              <w:right w:val="nil"/>
            </w:tcBorders>
            <w:shd w:val="clear" w:color="auto" w:fill="auto"/>
            <w:vAlign w:val="center"/>
            <w:hideMark/>
          </w:tcPr>
          <w:p w:rsidRPr="004D7B93" w:rsidR="004D7B93" w:rsidP="004D7B93" w:rsidRDefault="004D7B93" w14:paraId="62586C22"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Qatar Charity</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75393A67"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 xml:space="preserve">                   9,962,039 </w:t>
            </w:r>
          </w:p>
        </w:tc>
        <w:tc>
          <w:tcPr>
            <w:tcW w:w="1148" w:type="dxa"/>
            <w:tcBorders>
              <w:top w:val="single" w:color="4472C4" w:sz="4" w:space="0"/>
              <w:left w:val="nil"/>
              <w:bottom w:val="nil"/>
              <w:right w:val="nil"/>
            </w:tcBorders>
            <w:shd w:val="clear" w:color="000000" w:fill="FFCCCC"/>
            <w:noWrap/>
            <w:vAlign w:val="bottom"/>
            <w:hideMark/>
          </w:tcPr>
          <w:p w:rsidRPr="004D7B93" w:rsidR="004D7B93" w:rsidP="004D7B93" w:rsidRDefault="004D7B93" w14:paraId="2F826A65"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0%</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39386A9A" w14:textId="77777777">
            <w:pPr>
              <w:spacing w:after="0" w:line="240" w:lineRule="auto"/>
              <w:jc w:val="right"/>
              <w:rPr>
                <w:rFonts w:ascii="Calibri" w:hAnsi="Calibri" w:eastAsia="Times New Roman" w:cs="Times New Roman"/>
                <w:b/>
                <w:bCs/>
                <w:color w:val="000000"/>
                <w:sz w:val="18"/>
                <w:szCs w:val="18"/>
                <w:lang w:eastAsia="zh-CN"/>
              </w:rPr>
            </w:pPr>
            <w:r w:rsidRPr="004D7B93">
              <w:rPr>
                <w:rFonts w:ascii="Calibri" w:hAnsi="Calibri" w:eastAsia="Times New Roman" w:cs="Times New Roman"/>
                <w:b/>
                <w:bCs/>
                <w:color w:val="000000"/>
                <w:sz w:val="18"/>
                <w:szCs w:val="18"/>
                <w:lang w:eastAsia="zh-CN"/>
              </w:rPr>
              <w:t xml:space="preserve">                10,870,500 </w:t>
            </w:r>
          </w:p>
        </w:tc>
        <w:tc>
          <w:tcPr>
            <w:tcW w:w="896" w:type="dxa"/>
            <w:tcBorders>
              <w:top w:val="single" w:color="4472C4" w:sz="4" w:space="0"/>
              <w:left w:val="nil"/>
              <w:bottom w:val="nil"/>
              <w:right w:val="nil"/>
            </w:tcBorders>
            <w:shd w:val="clear" w:color="000000" w:fill="C6E0B4"/>
            <w:noWrap/>
            <w:vAlign w:val="bottom"/>
            <w:hideMark/>
          </w:tcPr>
          <w:p w:rsidRPr="004D7B93" w:rsidR="004D7B93" w:rsidP="004D7B93" w:rsidRDefault="004D7B93" w14:paraId="445E5B7B"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9%</w:t>
            </w:r>
          </w:p>
        </w:tc>
        <w:tc>
          <w:tcPr>
            <w:tcW w:w="3745" w:type="dxa"/>
            <w:tcBorders>
              <w:top w:val="single" w:color="4472C4" w:sz="4" w:space="0"/>
              <w:left w:val="nil"/>
              <w:bottom w:val="nil"/>
              <w:right w:val="single" w:color="4472C4" w:sz="4" w:space="0"/>
            </w:tcBorders>
            <w:shd w:val="clear" w:color="auto" w:fill="auto"/>
            <w:vAlign w:val="bottom"/>
            <w:hideMark/>
          </w:tcPr>
          <w:p w:rsidRPr="004D7B93" w:rsidR="004D7B93" w:rsidP="004D7B93" w:rsidRDefault="004D7B93" w14:paraId="72E846BC"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4D7B93">
              <w:rPr>
                <w:rFonts w:ascii="Calibri" w:hAnsi="Calibri" w:eastAsia="Times New Roman" w:cs="Times New Roman"/>
                <w:color w:val="000000"/>
                <w:sz w:val="18"/>
                <w:szCs w:val="18"/>
                <w:lang w:eastAsia="zh-CN"/>
              </w:rPr>
              <w:t>Aleppo;Idleb</w:t>
            </w:r>
            <w:proofErr w:type="spellEnd"/>
            <w:proofErr w:type="gramEnd"/>
          </w:p>
        </w:tc>
      </w:tr>
      <w:tr w:rsidRPr="004D7B93" w:rsidR="004D7B93" w:rsidTr="00FC3076" w14:paraId="08794D4C" w14:textId="77777777">
        <w:trPr>
          <w:trHeight w:val="244"/>
        </w:trPr>
        <w:tc>
          <w:tcPr>
            <w:tcW w:w="2777" w:type="dxa"/>
            <w:tcBorders>
              <w:top w:val="single" w:color="4472C4" w:sz="4" w:space="0"/>
              <w:left w:val="single" w:color="4472C4" w:sz="4" w:space="0"/>
              <w:bottom w:val="nil"/>
              <w:right w:val="nil"/>
            </w:tcBorders>
            <w:shd w:val="clear" w:color="auto" w:fill="auto"/>
            <w:vAlign w:val="center"/>
            <w:hideMark/>
          </w:tcPr>
          <w:p w:rsidRPr="004D7B93" w:rsidR="004D7B93" w:rsidP="004D7B93" w:rsidRDefault="004D7B93" w14:paraId="043C8BBB"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Global Communities</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21C9338B"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 xml:space="preserve">                   8,262,540 </w:t>
            </w:r>
          </w:p>
        </w:tc>
        <w:tc>
          <w:tcPr>
            <w:tcW w:w="1148" w:type="dxa"/>
            <w:tcBorders>
              <w:top w:val="single" w:color="4472C4" w:sz="4" w:space="0"/>
              <w:left w:val="nil"/>
              <w:bottom w:val="nil"/>
              <w:right w:val="nil"/>
            </w:tcBorders>
            <w:shd w:val="clear" w:color="000000" w:fill="FFCCCC"/>
            <w:noWrap/>
            <w:vAlign w:val="bottom"/>
            <w:hideMark/>
          </w:tcPr>
          <w:p w:rsidRPr="004D7B93" w:rsidR="004D7B93" w:rsidP="004D7B93" w:rsidRDefault="004D7B93" w14:paraId="3ECB0E39"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0%</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0EED796D" w14:textId="77777777">
            <w:pPr>
              <w:spacing w:after="0" w:line="240" w:lineRule="auto"/>
              <w:jc w:val="right"/>
              <w:rPr>
                <w:rFonts w:ascii="Calibri" w:hAnsi="Calibri" w:eastAsia="Times New Roman" w:cs="Times New Roman"/>
                <w:b/>
                <w:bCs/>
                <w:color w:val="000000"/>
                <w:sz w:val="18"/>
                <w:szCs w:val="18"/>
                <w:lang w:eastAsia="zh-CN"/>
              </w:rPr>
            </w:pPr>
            <w:r w:rsidRPr="004D7B93">
              <w:rPr>
                <w:rFonts w:ascii="Calibri" w:hAnsi="Calibri" w:eastAsia="Times New Roman" w:cs="Times New Roman"/>
                <w:b/>
                <w:bCs/>
                <w:color w:val="000000"/>
                <w:sz w:val="18"/>
                <w:szCs w:val="18"/>
                <w:lang w:eastAsia="zh-CN"/>
              </w:rPr>
              <w:t xml:space="preserve">                   9,360,000 </w:t>
            </w:r>
          </w:p>
        </w:tc>
        <w:tc>
          <w:tcPr>
            <w:tcW w:w="896" w:type="dxa"/>
            <w:tcBorders>
              <w:top w:val="single" w:color="4472C4" w:sz="4" w:space="0"/>
              <w:left w:val="nil"/>
              <w:bottom w:val="nil"/>
              <w:right w:val="nil"/>
            </w:tcBorders>
            <w:shd w:val="clear" w:color="000000" w:fill="C6E0B4"/>
            <w:noWrap/>
            <w:vAlign w:val="bottom"/>
            <w:hideMark/>
          </w:tcPr>
          <w:p w:rsidRPr="004D7B93" w:rsidR="004D7B93" w:rsidP="004D7B93" w:rsidRDefault="004D7B93" w14:paraId="47580079"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13%</w:t>
            </w:r>
          </w:p>
        </w:tc>
        <w:tc>
          <w:tcPr>
            <w:tcW w:w="3745" w:type="dxa"/>
            <w:tcBorders>
              <w:top w:val="single" w:color="4472C4" w:sz="4" w:space="0"/>
              <w:left w:val="nil"/>
              <w:bottom w:val="nil"/>
              <w:right w:val="single" w:color="4472C4" w:sz="4" w:space="0"/>
            </w:tcBorders>
            <w:shd w:val="clear" w:color="auto" w:fill="auto"/>
            <w:vAlign w:val="bottom"/>
            <w:hideMark/>
          </w:tcPr>
          <w:p w:rsidRPr="004D7B93" w:rsidR="004D7B93" w:rsidP="004D7B93" w:rsidRDefault="004D7B93" w14:paraId="1616EC70"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4D7B93">
              <w:rPr>
                <w:rFonts w:ascii="Calibri" w:hAnsi="Calibri" w:eastAsia="Times New Roman" w:cs="Times New Roman"/>
                <w:color w:val="000000"/>
                <w:sz w:val="18"/>
                <w:szCs w:val="18"/>
                <w:lang w:eastAsia="zh-CN"/>
              </w:rPr>
              <w:t>Aleppo;Idleb</w:t>
            </w:r>
            <w:proofErr w:type="spellEnd"/>
            <w:proofErr w:type="gramEnd"/>
          </w:p>
        </w:tc>
      </w:tr>
      <w:tr w:rsidRPr="004D7B93" w:rsidR="004D7B93" w:rsidTr="00FC3076" w14:paraId="727B3B2A" w14:textId="77777777">
        <w:trPr>
          <w:trHeight w:val="244"/>
        </w:trPr>
        <w:tc>
          <w:tcPr>
            <w:tcW w:w="2777" w:type="dxa"/>
            <w:tcBorders>
              <w:top w:val="single" w:color="4472C4" w:sz="4" w:space="0"/>
              <w:left w:val="single" w:color="4472C4" w:sz="4" w:space="0"/>
              <w:bottom w:val="nil"/>
              <w:right w:val="nil"/>
            </w:tcBorders>
            <w:shd w:val="clear" w:color="auto" w:fill="auto"/>
            <w:vAlign w:val="center"/>
            <w:hideMark/>
          </w:tcPr>
          <w:p w:rsidRPr="004D7B93" w:rsidR="004D7B93" w:rsidP="004D7B93" w:rsidRDefault="004D7B93" w14:paraId="30971076"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Violet Organization</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2E5F4D05"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 xml:space="preserve">                   4,701,425 </w:t>
            </w:r>
          </w:p>
        </w:tc>
        <w:tc>
          <w:tcPr>
            <w:tcW w:w="1148" w:type="dxa"/>
            <w:tcBorders>
              <w:top w:val="single" w:color="4472C4" w:sz="4" w:space="0"/>
              <w:left w:val="nil"/>
              <w:bottom w:val="nil"/>
              <w:right w:val="nil"/>
            </w:tcBorders>
            <w:shd w:val="clear" w:color="000000" w:fill="C6E0B4"/>
            <w:noWrap/>
            <w:vAlign w:val="bottom"/>
            <w:hideMark/>
          </w:tcPr>
          <w:p w:rsidRPr="004D7B93" w:rsidR="004D7B93" w:rsidP="004D7B93" w:rsidRDefault="004D7B93" w14:paraId="191A7D9A"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225%</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28514D0C" w14:textId="77777777">
            <w:pPr>
              <w:spacing w:after="0" w:line="240" w:lineRule="auto"/>
              <w:jc w:val="right"/>
              <w:rPr>
                <w:rFonts w:ascii="Calibri" w:hAnsi="Calibri" w:eastAsia="Times New Roman" w:cs="Times New Roman"/>
                <w:b/>
                <w:bCs/>
                <w:color w:val="000000"/>
                <w:sz w:val="18"/>
                <w:szCs w:val="18"/>
                <w:lang w:eastAsia="zh-CN"/>
              </w:rPr>
            </w:pPr>
            <w:r w:rsidRPr="004D7B93">
              <w:rPr>
                <w:rFonts w:ascii="Calibri" w:hAnsi="Calibri" w:eastAsia="Times New Roman" w:cs="Times New Roman"/>
                <w:b/>
                <w:bCs/>
                <w:color w:val="000000"/>
                <w:sz w:val="18"/>
                <w:szCs w:val="18"/>
                <w:lang w:eastAsia="zh-CN"/>
              </w:rPr>
              <w:t xml:space="preserve">                   9,200,320 </w:t>
            </w:r>
          </w:p>
        </w:tc>
        <w:tc>
          <w:tcPr>
            <w:tcW w:w="896" w:type="dxa"/>
            <w:tcBorders>
              <w:top w:val="single" w:color="4472C4" w:sz="4" w:space="0"/>
              <w:left w:val="nil"/>
              <w:bottom w:val="nil"/>
              <w:right w:val="nil"/>
            </w:tcBorders>
            <w:shd w:val="clear" w:color="000000" w:fill="FFCCCC"/>
            <w:noWrap/>
            <w:vAlign w:val="bottom"/>
            <w:hideMark/>
          </w:tcPr>
          <w:p w:rsidRPr="004D7B93" w:rsidR="004D7B93" w:rsidP="004D7B93" w:rsidRDefault="004D7B93" w14:paraId="52057F81"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96%</w:t>
            </w:r>
          </w:p>
        </w:tc>
        <w:tc>
          <w:tcPr>
            <w:tcW w:w="3745" w:type="dxa"/>
            <w:tcBorders>
              <w:top w:val="single" w:color="4472C4" w:sz="4" w:space="0"/>
              <w:left w:val="nil"/>
              <w:bottom w:val="nil"/>
              <w:right w:val="single" w:color="4472C4" w:sz="4" w:space="0"/>
            </w:tcBorders>
            <w:shd w:val="clear" w:color="auto" w:fill="auto"/>
            <w:vAlign w:val="bottom"/>
            <w:hideMark/>
          </w:tcPr>
          <w:p w:rsidRPr="004D7B93" w:rsidR="004D7B93" w:rsidP="004D7B93" w:rsidRDefault="004D7B93" w14:paraId="37F94FE8"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4D7B93">
              <w:rPr>
                <w:rFonts w:ascii="Calibri" w:hAnsi="Calibri" w:eastAsia="Times New Roman" w:cs="Times New Roman"/>
                <w:color w:val="000000"/>
                <w:sz w:val="18"/>
                <w:szCs w:val="18"/>
                <w:lang w:eastAsia="zh-CN"/>
              </w:rPr>
              <w:t>Aleppo;Idleb</w:t>
            </w:r>
            <w:proofErr w:type="spellEnd"/>
            <w:proofErr w:type="gramEnd"/>
          </w:p>
        </w:tc>
      </w:tr>
      <w:tr w:rsidRPr="004D7B93" w:rsidR="004D7B93" w:rsidTr="00FC3076" w14:paraId="38AC95E8" w14:textId="77777777">
        <w:trPr>
          <w:trHeight w:val="407"/>
        </w:trPr>
        <w:tc>
          <w:tcPr>
            <w:tcW w:w="2777" w:type="dxa"/>
            <w:tcBorders>
              <w:top w:val="single" w:color="4472C4" w:sz="4" w:space="0"/>
              <w:left w:val="single" w:color="4472C4" w:sz="4" w:space="0"/>
              <w:bottom w:val="nil"/>
              <w:right w:val="nil"/>
            </w:tcBorders>
            <w:shd w:val="clear" w:color="auto" w:fill="auto"/>
            <w:vAlign w:val="center"/>
            <w:hideMark/>
          </w:tcPr>
          <w:p w:rsidRPr="004D7B93" w:rsidR="004D7B93" w:rsidP="004D7B93" w:rsidRDefault="004D7B93" w14:paraId="7C99A9D3"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Agency for Technical Cooperation and Development</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2E14EF53"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 xml:space="preserve">                   3,710,000 </w:t>
            </w:r>
          </w:p>
        </w:tc>
        <w:tc>
          <w:tcPr>
            <w:tcW w:w="1148" w:type="dxa"/>
            <w:tcBorders>
              <w:top w:val="single" w:color="4472C4" w:sz="4" w:space="0"/>
              <w:left w:val="nil"/>
              <w:bottom w:val="nil"/>
              <w:right w:val="nil"/>
            </w:tcBorders>
            <w:shd w:val="clear" w:color="000000" w:fill="FFCCCC"/>
            <w:noWrap/>
            <w:vAlign w:val="bottom"/>
            <w:hideMark/>
          </w:tcPr>
          <w:p w:rsidRPr="004D7B93" w:rsidR="004D7B93" w:rsidP="004D7B93" w:rsidRDefault="004D7B93" w14:paraId="742E1DBD"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0%</w:t>
            </w:r>
          </w:p>
        </w:tc>
        <w:tc>
          <w:tcPr>
            <w:tcW w:w="1231" w:type="dxa"/>
            <w:tcBorders>
              <w:top w:val="single" w:color="4472C4" w:sz="4" w:space="0"/>
              <w:left w:val="nil"/>
              <w:bottom w:val="nil"/>
              <w:right w:val="nil"/>
            </w:tcBorders>
            <w:shd w:val="clear" w:color="auto" w:fill="auto"/>
            <w:noWrap/>
            <w:vAlign w:val="bottom"/>
            <w:hideMark/>
          </w:tcPr>
          <w:p w:rsidRPr="004D7B93" w:rsidR="004D7B93" w:rsidP="004D7B93" w:rsidRDefault="004D7B93" w14:paraId="2837CCA7" w14:textId="77777777">
            <w:pPr>
              <w:spacing w:after="0" w:line="240" w:lineRule="auto"/>
              <w:jc w:val="right"/>
              <w:rPr>
                <w:rFonts w:ascii="Calibri" w:hAnsi="Calibri" w:eastAsia="Times New Roman" w:cs="Times New Roman"/>
                <w:b/>
                <w:bCs/>
                <w:color w:val="000000"/>
                <w:sz w:val="18"/>
                <w:szCs w:val="18"/>
                <w:lang w:eastAsia="zh-CN"/>
              </w:rPr>
            </w:pPr>
            <w:r w:rsidRPr="004D7B93">
              <w:rPr>
                <w:rFonts w:ascii="Calibri" w:hAnsi="Calibri" w:eastAsia="Times New Roman" w:cs="Times New Roman"/>
                <w:b/>
                <w:bCs/>
                <w:color w:val="000000"/>
                <w:sz w:val="18"/>
                <w:szCs w:val="18"/>
                <w:lang w:eastAsia="zh-CN"/>
              </w:rPr>
              <w:t xml:space="preserve">                   7,893,302 </w:t>
            </w:r>
          </w:p>
        </w:tc>
        <w:tc>
          <w:tcPr>
            <w:tcW w:w="896" w:type="dxa"/>
            <w:tcBorders>
              <w:top w:val="single" w:color="4472C4" w:sz="4" w:space="0"/>
              <w:left w:val="nil"/>
              <w:bottom w:val="nil"/>
              <w:right w:val="nil"/>
            </w:tcBorders>
            <w:shd w:val="clear" w:color="000000" w:fill="FFCCCC"/>
            <w:noWrap/>
            <w:vAlign w:val="bottom"/>
            <w:hideMark/>
          </w:tcPr>
          <w:p w:rsidRPr="004D7B93" w:rsidR="004D7B93" w:rsidP="004D7B93" w:rsidRDefault="004D7B93" w14:paraId="7FB2F935"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113%</w:t>
            </w:r>
          </w:p>
        </w:tc>
        <w:tc>
          <w:tcPr>
            <w:tcW w:w="3745" w:type="dxa"/>
            <w:tcBorders>
              <w:top w:val="single" w:color="4472C4" w:sz="4" w:space="0"/>
              <w:left w:val="nil"/>
              <w:bottom w:val="nil"/>
              <w:right w:val="single" w:color="4472C4" w:sz="4" w:space="0"/>
            </w:tcBorders>
            <w:shd w:val="clear" w:color="auto" w:fill="auto"/>
            <w:vAlign w:val="bottom"/>
            <w:hideMark/>
          </w:tcPr>
          <w:p w:rsidRPr="004D7B93" w:rsidR="004D7B93" w:rsidP="004D7B93" w:rsidRDefault="004D7B93" w14:paraId="100F5E98"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4D7B93">
              <w:rPr>
                <w:rFonts w:ascii="Calibri" w:hAnsi="Calibri" w:eastAsia="Times New Roman" w:cs="Times New Roman"/>
                <w:color w:val="000000"/>
                <w:sz w:val="18"/>
                <w:szCs w:val="18"/>
                <w:lang w:eastAsia="zh-CN"/>
              </w:rPr>
              <w:t>Aleppo;Al</w:t>
            </w:r>
            <w:proofErr w:type="gramEnd"/>
            <w:r w:rsidRPr="004D7B93">
              <w:rPr>
                <w:rFonts w:ascii="Calibri" w:hAnsi="Calibri" w:eastAsia="Times New Roman" w:cs="Times New Roman"/>
                <w:color w:val="000000"/>
                <w:sz w:val="18"/>
                <w:szCs w:val="18"/>
                <w:lang w:eastAsia="zh-CN"/>
              </w:rPr>
              <w:t>-Hasakeh;Ar-RaqqaDeir-ez-Zor;Idleb</w:t>
            </w:r>
            <w:proofErr w:type="spellEnd"/>
          </w:p>
        </w:tc>
      </w:tr>
      <w:tr w:rsidRPr="004D7B93" w:rsidR="004D7B93" w:rsidTr="00FC3076" w14:paraId="67DF0514" w14:textId="77777777">
        <w:trPr>
          <w:trHeight w:val="244"/>
        </w:trPr>
        <w:tc>
          <w:tcPr>
            <w:tcW w:w="2777" w:type="dxa"/>
            <w:tcBorders>
              <w:top w:val="single" w:color="4472C4" w:sz="4" w:space="0"/>
              <w:left w:val="single" w:color="4472C4" w:sz="4" w:space="0"/>
              <w:bottom w:val="single" w:color="4472C4" w:sz="4" w:space="0"/>
              <w:right w:val="nil"/>
            </w:tcBorders>
            <w:shd w:val="clear" w:color="auto" w:fill="auto"/>
            <w:vAlign w:val="center"/>
            <w:hideMark/>
          </w:tcPr>
          <w:p w:rsidRPr="004D7B93" w:rsidR="004D7B93" w:rsidP="004D7B93" w:rsidRDefault="004D7B93" w14:paraId="4FFFB0F5" w14:textId="77777777">
            <w:pPr>
              <w:spacing w:after="0" w:line="240" w:lineRule="auto"/>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Ihsan for Relief and Development</w:t>
            </w:r>
          </w:p>
        </w:tc>
        <w:tc>
          <w:tcPr>
            <w:tcW w:w="1231" w:type="dxa"/>
            <w:tcBorders>
              <w:top w:val="single" w:color="4472C4" w:sz="4" w:space="0"/>
              <w:left w:val="nil"/>
              <w:bottom w:val="single" w:color="4472C4" w:sz="4" w:space="0"/>
              <w:right w:val="nil"/>
            </w:tcBorders>
            <w:shd w:val="clear" w:color="auto" w:fill="auto"/>
            <w:noWrap/>
            <w:vAlign w:val="bottom"/>
            <w:hideMark/>
          </w:tcPr>
          <w:p w:rsidRPr="004D7B93" w:rsidR="004D7B93" w:rsidP="004D7B93" w:rsidRDefault="004D7B93" w14:paraId="1F349261"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 xml:space="preserve">                   2,978,500 </w:t>
            </w:r>
          </w:p>
        </w:tc>
        <w:tc>
          <w:tcPr>
            <w:tcW w:w="1148" w:type="dxa"/>
            <w:tcBorders>
              <w:top w:val="single" w:color="4472C4" w:sz="4" w:space="0"/>
              <w:left w:val="nil"/>
              <w:bottom w:val="single" w:color="4472C4" w:sz="4" w:space="0"/>
              <w:right w:val="nil"/>
            </w:tcBorders>
            <w:shd w:val="clear" w:color="000000" w:fill="FFCCCC"/>
            <w:noWrap/>
            <w:vAlign w:val="bottom"/>
            <w:hideMark/>
          </w:tcPr>
          <w:p w:rsidRPr="004D7B93" w:rsidR="004D7B93" w:rsidP="004D7B93" w:rsidRDefault="004D7B93" w14:paraId="3EE051E1"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29%</w:t>
            </w:r>
          </w:p>
        </w:tc>
        <w:tc>
          <w:tcPr>
            <w:tcW w:w="1231" w:type="dxa"/>
            <w:tcBorders>
              <w:top w:val="single" w:color="4472C4" w:sz="4" w:space="0"/>
              <w:left w:val="nil"/>
              <w:bottom w:val="single" w:color="4472C4" w:sz="4" w:space="0"/>
              <w:right w:val="nil"/>
            </w:tcBorders>
            <w:shd w:val="clear" w:color="auto" w:fill="auto"/>
            <w:noWrap/>
            <w:vAlign w:val="bottom"/>
            <w:hideMark/>
          </w:tcPr>
          <w:p w:rsidRPr="004D7B93" w:rsidR="004D7B93" w:rsidP="004D7B93" w:rsidRDefault="004D7B93" w14:paraId="3EB1F8E2" w14:textId="77777777">
            <w:pPr>
              <w:spacing w:after="0" w:line="240" w:lineRule="auto"/>
              <w:jc w:val="right"/>
              <w:rPr>
                <w:rFonts w:ascii="Calibri" w:hAnsi="Calibri" w:eastAsia="Times New Roman" w:cs="Times New Roman"/>
                <w:b/>
                <w:bCs/>
                <w:color w:val="000000"/>
                <w:sz w:val="18"/>
                <w:szCs w:val="18"/>
                <w:lang w:eastAsia="zh-CN"/>
              </w:rPr>
            </w:pPr>
            <w:r w:rsidRPr="004D7B93">
              <w:rPr>
                <w:rFonts w:ascii="Calibri" w:hAnsi="Calibri" w:eastAsia="Times New Roman" w:cs="Times New Roman"/>
                <w:b/>
                <w:bCs/>
                <w:color w:val="000000"/>
                <w:sz w:val="18"/>
                <w:szCs w:val="18"/>
                <w:lang w:eastAsia="zh-CN"/>
              </w:rPr>
              <w:t xml:space="preserve">                   7,560,000 </w:t>
            </w:r>
          </w:p>
        </w:tc>
        <w:tc>
          <w:tcPr>
            <w:tcW w:w="896" w:type="dxa"/>
            <w:tcBorders>
              <w:top w:val="single" w:color="4472C4" w:sz="4" w:space="0"/>
              <w:left w:val="nil"/>
              <w:bottom w:val="nil"/>
              <w:right w:val="nil"/>
            </w:tcBorders>
            <w:shd w:val="clear" w:color="000000" w:fill="FFCCCC"/>
            <w:noWrap/>
            <w:vAlign w:val="bottom"/>
            <w:hideMark/>
          </w:tcPr>
          <w:p w:rsidRPr="004D7B93" w:rsidR="004D7B93" w:rsidP="004D7B93" w:rsidRDefault="004D7B93" w14:paraId="4CA5CF44" w14:textId="77777777">
            <w:pPr>
              <w:spacing w:after="0" w:line="240" w:lineRule="auto"/>
              <w:jc w:val="right"/>
              <w:rPr>
                <w:rFonts w:ascii="Calibri" w:hAnsi="Calibri" w:eastAsia="Times New Roman" w:cs="Times New Roman"/>
                <w:color w:val="000000"/>
                <w:sz w:val="18"/>
                <w:szCs w:val="18"/>
                <w:lang w:eastAsia="zh-CN"/>
              </w:rPr>
            </w:pPr>
            <w:r w:rsidRPr="004D7B93">
              <w:rPr>
                <w:rFonts w:ascii="Calibri" w:hAnsi="Calibri" w:eastAsia="Times New Roman" w:cs="Times New Roman"/>
                <w:color w:val="000000"/>
                <w:sz w:val="18"/>
                <w:szCs w:val="18"/>
                <w:lang w:eastAsia="zh-CN"/>
              </w:rPr>
              <w:t>154%</w:t>
            </w:r>
          </w:p>
        </w:tc>
        <w:tc>
          <w:tcPr>
            <w:tcW w:w="3745" w:type="dxa"/>
            <w:tcBorders>
              <w:top w:val="single" w:color="4472C4" w:sz="4" w:space="0"/>
              <w:left w:val="nil"/>
              <w:bottom w:val="single" w:color="4472C4" w:sz="4" w:space="0"/>
              <w:right w:val="single" w:color="4472C4" w:sz="4" w:space="0"/>
            </w:tcBorders>
            <w:shd w:val="clear" w:color="auto" w:fill="auto"/>
            <w:vAlign w:val="bottom"/>
            <w:hideMark/>
          </w:tcPr>
          <w:p w:rsidRPr="004D7B93" w:rsidR="004D7B93" w:rsidP="004D7B93" w:rsidRDefault="004D7B93" w14:paraId="100D4364"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4D7B93">
              <w:rPr>
                <w:rFonts w:ascii="Calibri" w:hAnsi="Calibri" w:eastAsia="Times New Roman" w:cs="Times New Roman"/>
                <w:color w:val="000000"/>
                <w:sz w:val="18"/>
                <w:szCs w:val="18"/>
                <w:lang w:eastAsia="zh-CN"/>
              </w:rPr>
              <w:t>Aleppo;Idleb</w:t>
            </w:r>
            <w:proofErr w:type="spellEnd"/>
            <w:proofErr w:type="gramEnd"/>
          </w:p>
        </w:tc>
      </w:tr>
    </w:tbl>
    <w:p w:rsidR="004A15C9" w:rsidP="00EA1163" w:rsidRDefault="004A15C9" w14:paraId="12F04697" w14:textId="332D2343">
      <w:pPr>
        <w:spacing w:line="240" w:lineRule="auto"/>
        <w:rPr>
          <w:rFonts w:cstheme="minorHAnsi"/>
          <w:b/>
          <w:bCs/>
          <w:sz w:val="24"/>
          <w:szCs w:val="24"/>
        </w:rPr>
      </w:pPr>
      <w:r>
        <w:rPr>
          <w:rFonts w:cstheme="minorHAnsi"/>
          <w:b/>
          <w:bCs/>
          <w:sz w:val="24"/>
          <w:szCs w:val="24"/>
        </w:rPr>
        <w:br w:type="page"/>
      </w:r>
    </w:p>
    <w:p w:rsidR="004A15C9" w:rsidP="00EA1163" w:rsidRDefault="004A15C9" w14:paraId="65AE98C7" w14:textId="77777777">
      <w:pPr>
        <w:spacing w:line="240" w:lineRule="auto"/>
        <w:rPr>
          <w:rFonts w:cstheme="minorHAnsi"/>
          <w:b/>
          <w:bCs/>
          <w:sz w:val="24"/>
          <w:szCs w:val="24"/>
        </w:rPr>
      </w:pPr>
    </w:p>
    <w:p w:rsidR="00D13BB6" w:rsidP="00EA1163" w:rsidRDefault="00D13BB6" w14:paraId="2C037CF1" w14:textId="77777777">
      <w:pPr>
        <w:spacing w:line="240" w:lineRule="auto"/>
        <w:jc w:val="center"/>
        <w:rPr>
          <w:rFonts w:cstheme="minorHAnsi"/>
          <w:b/>
          <w:bCs/>
          <w:sz w:val="24"/>
          <w:szCs w:val="24"/>
        </w:rPr>
      </w:pPr>
      <w:r w:rsidRPr="008D6C3E">
        <w:rPr>
          <w:rFonts w:cstheme="minorHAnsi"/>
          <w:b/>
          <w:bCs/>
          <w:sz w:val="24"/>
          <w:szCs w:val="24"/>
        </w:rPr>
        <w:t>Water, Sanitation and Hygiene</w:t>
      </w:r>
    </w:p>
    <w:p w:rsidRPr="0089627F" w:rsidR="00DC537A" w:rsidP="00EA1163" w:rsidRDefault="00096CEE" w14:paraId="3597C63E" w14:textId="4235AE86">
      <w:pPr>
        <w:spacing w:line="240" w:lineRule="auto"/>
        <w:rPr>
          <w:rFonts w:cstheme="minorHAnsi"/>
          <w:b/>
          <w:sz w:val="20"/>
          <w:szCs w:val="20"/>
        </w:rPr>
      </w:pPr>
      <w:r w:rsidRPr="0089627F">
        <w:rPr>
          <w:rFonts w:cstheme="minorHAnsi"/>
          <w:b/>
          <w:sz w:val="20"/>
          <w:szCs w:val="20"/>
        </w:rPr>
        <w:t xml:space="preserve">Name of coordinators: </w:t>
      </w:r>
      <w:r w:rsidRPr="009A4CA7" w:rsidR="00EF04B2">
        <w:rPr>
          <w:rFonts w:cstheme="minorHAnsi"/>
          <w:bCs/>
          <w:sz w:val="20"/>
          <w:szCs w:val="20"/>
        </w:rPr>
        <w:t>Patrick Laurent</w:t>
      </w:r>
      <w:r w:rsidR="0000034E">
        <w:rPr>
          <w:rFonts w:cstheme="minorHAnsi"/>
          <w:bCs/>
          <w:sz w:val="20"/>
          <w:szCs w:val="20"/>
        </w:rPr>
        <w:t>/</w:t>
      </w:r>
      <w:r w:rsidR="000D6D66">
        <w:rPr>
          <w:rFonts w:cstheme="minorHAnsi"/>
          <w:bCs/>
          <w:sz w:val="20"/>
          <w:szCs w:val="20"/>
        </w:rPr>
        <w:t>UNICEF</w:t>
      </w:r>
      <w:r w:rsidRPr="009A4CA7" w:rsidR="0000034E">
        <w:rPr>
          <w:rFonts w:cstheme="minorHAnsi"/>
          <w:bCs/>
          <w:sz w:val="20"/>
          <w:szCs w:val="20"/>
        </w:rPr>
        <w:t xml:space="preserve"> </w:t>
      </w:r>
      <w:r w:rsidR="0000034E">
        <w:rPr>
          <w:rFonts w:cstheme="minorHAnsi"/>
          <w:bCs/>
          <w:sz w:val="20"/>
          <w:szCs w:val="20"/>
        </w:rPr>
        <w:t xml:space="preserve">and </w:t>
      </w:r>
      <w:r w:rsidRPr="009A4CA7" w:rsidR="00EF04B2">
        <w:rPr>
          <w:rFonts w:cstheme="minorHAnsi"/>
          <w:bCs/>
          <w:sz w:val="20"/>
          <w:szCs w:val="20"/>
        </w:rPr>
        <w:t xml:space="preserve">Jakub </w:t>
      </w:r>
      <w:proofErr w:type="spellStart"/>
      <w:r w:rsidRPr="009A4CA7" w:rsidR="00EF04B2">
        <w:rPr>
          <w:rFonts w:cstheme="minorHAnsi"/>
          <w:bCs/>
          <w:sz w:val="20"/>
          <w:szCs w:val="20"/>
        </w:rPr>
        <w:t>Pajak</w:t>
      </w:r>
      <w:proofErr w:type="spellEnd"/>
      <w:r w:rsidR="000D6D66">
        <w:rPr>
          <w:rFonts w:cstheme="minorHAnsi"/>
          <w:bCs/>
          <w:sz w:val="20"/>
          <w:szCs w:val="20"/>
        </w:rPr>
        <w:t>/ACTED</w:t>
      </w:r>
      <w:r w:rsidRPr="009A4CA7" w:rsidR="00EF04B2">
        <w:rPr>
          <w:rFonts w:cstheme="minorHAnsi"/>
          <w:bCs/>
          <w:sz w:val="20"/>
          <w:szCs w:val="20"/>
        </w:rPr>
        <w:t xml:space="preserve">  </w:t>
      </w:r>
    </w:p>
    <w:p w:rsidRPr="002011E6" w:rsidR="006A0CE5" w:rsidP="006A0CE5" w:rsidRDefault="006A0CE5" w14:paraId="214961DF" w14:textId="77777777">
      <w:pPr>
        <w:spacing w:after="0" w:line="240" w:lineRule="auto"/>
        <w:jc w:val="center"/>
        <w:rPr>
          <w:rFonts w:asciiTheme="majorHAnsi" w:hAnsiTheme="majorHAnsi" w:cstheme="majorHAnsi"/>
          <w:b/>
          <w:sz w:val="20"/>
          <w:szCs w:val="20"/>
        </w:rPr>
      </w:pPr>
    </w:p>
    <w:p w:rsidRPr="00D52588" w:rsidR="00D1024C" w:rsidP="00EA1163" w:rsidRDefault="006A0CE5" w14:paraId="52433E19" w14:textId="75BAD990">
      <w:pPr>
        <w:pBdr>
          <w:top w:val="single" w:color="auto" w:sz="4" w:space="1"/>
          <w:left w:val="single" w:color="auto" w:sz="4" w:space="4"/>
          <w:bottom w:val="single" w:color="auto" w:sz="4" w:space="1"/>
          <w:right w:val="single" w:color="auto" w:sz="4" w:space="4"/>
        </w:pBdr>
        <w:spacing w:line="240" w:lineRule="auto"/>
        <w:jc w:val="center"/>
        <w:rPr>
          <w:b/>
          <w:bCs/>
          <w:color w:val="2F5496" w:themeColor="accent1" w:themeShade="BF"/>
          <w:sz w:val="20"/>
          <w:szCs w:val="20"/>
        </w:rPr>
      </w:pPr>
      <w:r>
        <w:t xml:space="preserve">-  </w:t>
      </w:r>
      <w:r w:rsidRPr="00D52588" w:rsidR="00D1024C">
        <w:rPr>
          <w:b/>
          <w:bCs/>
          <w:color w:val="2F5496" w:themeColor="accent1" w:themeShade="BF"/>
          <w:sz w:val="20"/>
          <w:szCs w:val="20"/>
          <w:highlight w:val="yellow"/>
        </w:rPr>
        <w:t>Suggested points to raise</w:t>
      </w:r>
    </w:p>
    <w:p w:rsidRPr="00BC41C2" w:rsidR="00D1024C" w:rsidP="00D1024C" w:rsidRDefault="00D1024C" w14:paraId="78B2358C" w14:textId="50584E25">
      <w:pPr>
        <w:pStyle w:val="ListParagraph"/>
        <w:numPr>
          <w:ilvl w:val="0"/>
          <w:numId w:val="21"/>
        </w:numPr>
        <w:pBdr>
          <w:top w:val="single" w:color="auto" w:sz="4" w:space="1"/>
          <w:left w:val="single" w:color="auto" w:sz="4" w:space="4"/>
          <w:bottom w:val="single" w:color="auto" w:sz="4" w:space="1"/>
          <w:right w:val="single" w:color="auto" w:sz="4" w:space="4"/>
        </w:pBdr>
        <w:spacing w:after="120"/>
        <w:jc w:val="both"/>
        <w:rPr>
          <w:rFonts w:asciiTheme="minorHAnsi" w:hAnsiTheme="minorHAnsi" w:cstheme="minorHAnsi"/>
          <w:b/>
          <w:bCs/>
          <w:color w:val="2F5496" w:themeColor="accent1" w:themeShade="BF"/>
        </w:rPr>
      </w:pPr>
      <w:r w:rsidRPr="00002A7D">
        <w:rPr>
          <w:rFonts w:asciiTheme="minorHAnsi" w:hAnsiTheme="minorHAnsi" w:cstheme="minorHAnsi"/>
          <w:b/>
          <w:bCs/>
          <w:color w:val="2F5496" w:themeColor="accent1" w:themeShade="BF"/>
          <w:sz w:val="20"/>
          <w:szCs w:val="20"/>
        </w:rPr>
        <w:t xml:space="preserve">Significant </w:t>
      </w:r>
      <w:r w:rsidRPr="00002A7D" w:rsidR="00002A7D">
        <w:rPr>
          <w:rFonts w:asciiTheme="minorHAnsi" w:hAnsiTheme="minorHAnsi" w:cstheme="minorHAnsi"/>
          <w:b/>
          <w:bCs/>
          <w:color w:val="2F5496" w:themeColor="accent1" w:themeShade="BF"/>
          <w:sz w:val="20"/>
          <w:szCs w:val="20"/>
        </w:rPr>
        <w:t>WASH</w:t>
      </w:r>
      <w:r w:rsidRPr="00002A7D">
        <w:rPr>
          <w:rFonts w:asciiTheme="minorHAnsi" w:hAnsiTheme="minorHAnsi" w:cstheme="minorHAnsi"/>
          <w:b/>
          <w:bCs/>
          <w:color w:val="2F5496" w:themeColor="accent1" w:themeShade="BF"/>
          <w:sz w:val="20"/>
          <w:szCs w:val="20"/>
        </w:rPr>
        <w:t xml:space="preserve"> </w:t>
      </w:r>
      <w:r w:rsidRPr="00002A7D" w:rsidR="00002A7D">
        <w:rPr>
          <w:rFonts w:asciiTheme="minorHAnsi" w:hAnsiTheme="minorHAnsi" w:cstheme="minorHAnsi"/>
          <w:b/>
          <w:bCs/>
          <w:color w:val="2F5496" w:themeColor="accent1" w:themeShade="BF"/>
          <w:sz w:val="20"/>
          <w:szCs w:val="20"/>
        </w:rPr>
        <w:t xml:space="preserve">needs, particularly for IDPs in sites/camps and linked to COVID-19 prevention, are </w:t>
      </w:r>
      <w:r w:rsidRPr="00002A7D">
        <w:rPr>
          <w:rFonts w:asciiTheme="minorHAnsi" w:hAnsiTheme="minorHAnsi" w:cstheme="minorHAnsi"/>
          <w:b/>
          <w:bCs/>
          <w:color w:val="2F5496" w:themeColor="accent1" w:themeShade="BF"/>
          <w:sz w:val="20"/>
          <w:szCs w:val="20"/>
        </w:rPr>
        <w:t xml:space="preserve">well-documented. </w:t>
      </w:r>
      <w:r w:rsidRPr="00002A7D" w:rsidR="00002A7D">
        <w:rPr>
          <w:rFonts w:asciiTheme="minorHAnsi" w:hAnsiTheme="minorHAnsi" w:cstheme="minorHAnsi"/>
          <w:b/>
          <w:bCs/>
          <w:color w:val="2F5496" w:themeColor="accent1" w:themeShade="BF"/>
          <w:sz w:val="20"/>
          <w:szCs w:val="20"/>
        </w:rPr>
        <w:t>At the same time,</w:t>
      </w:r>
      <w:r w:rsidRPr="00002A7D">
        <w:rPr>
          <w:rFonts w:asciiTheme="minorHAnsi" w:hAnsiTheme="minorHAnsi" w:cstheme="minorHAnsi"/>
          <w:b/>
          <w:bCs/>
          <w:color w:val="2F5496" w:themeColor="accent1" w:themeShade="BF"/>
          <w:sz w:val="20"/>
          <w:szCs w:val="20"/>
        </w:rPr>
        <w:t xml:space="preserve"> the </w:t>
      </w:r>
      <w:r w:rsidRPr="00002A7D" w:rsidR="00002A7D">
        <w:rPr>
          <w:rFonts w:asciiTheme="minorHAnsi" w:hAnsiTheme="minorHAnsi" w:cstheme="minorHAnsi"/>
          <w:b/>
          <w:bCs/>
          <w:color w:val="2F5496" w:themeColor="accent1" w:themeShade="BF"/>
          <w:sz w:val="20"/>
          <w:szCs w:val="20"/>
        </w:rPr>
        <w:t>WASH</w:t>
      </w:r>
      <w:r w:rsidRPr="00002A7D">
        <w:rPr>
          <w:rFonts w:asciiTheme="minorHAnsi" w:hAnsiTheme="minorHAnsi" w:cstheme="minorHAnsi"/>
          <w:b/>
          <w:bCs/>
          <w:color w:val="2F5496" w:themeColor="accent1" w:themeShade="BF"/>
          <w:sz w:val="20"/>
          <w:szCs w:val="20"/>
        </w:rPr>
        <w:t xml:space="preserve"> sector was </w:t>
      </w:r>
      <w:r w:rsidRPr="00002A7D" w:rsidR="00002A7D">
        <w:rPr>
          <w:rFonts w:asciiTheme="minorHAnsi" w:hAnsiTheme="minorHAnsi" w:cstheme="minorHAnsi"/>
          <w:b/>
          <w:bCs/>
          <w:color w:val="2F5496" w:themeColor="accent1" w:themeShade="BF"/>
          <w:sz w:val="20"/>
          <w:szCs w:val="20"/>
        </w:rPr>
        <w:t>amongst</w:t>
      </w:r>
      <w:r w:rsidRPr="00002A7D">
        <w:rPr>
          <w:rFonts w:asciiTheme="minorHAnsi" w:hAnsiTheme="minorHAnsi" w:cstheme="minorHAnsi"/>
          <w:b/>
          <w:bCs/>
          <w:color w:val="2F5496" w:themeColor="accent1" w:themeShade="BF"/>
          <w:sz w:val="20"/>
          <w:szCs w:val="20"/>
        </w:rPr>
        <w:t xml:space="preserve"> the least well-funded sectors in 2020 (</w:t>
      </w:r>
      <w:r w:rsidRPr="00002A7D" w:rsidR="00002A7D">
        <w:rPr>
          <w:rFonts w:asciiTheme="minorHAnsi" w:hAnsiTheme="minorHAnsi" w:cstheme="minorHAnsi"/>
          <w:b/>
          <w:bCs/>
          <w:color w:val="2F5496" w:themeColor="accent1" w:themeShade="BF"/>
          <w:sz w:val="20"/>
          <w:szCs w:val="20"/>
        </w:rPr>
        <w:t>2</w:t>
      </w:r>
      <w:r w:rsidRPr="00002A7D">
        <w:rPr>
          <w:rFonts w:asciiTheme="minorHAnsi" w:hAnsiTheme="minorHAnsi" w:cstheme="minorHAnsi"/>
          <w:b/>
          <w:bCs/>
          <w:color w:val="2F5496" w:themeColor="accent1" w:themeShade="BF"/>
          <w:sz w:val="20"/>
          <w:szCs w:val="20"/>
        </w:rPr>
        <w:t>3% coverage). In terms of strengthened advocacy and resource mobilization with donors, what may we not be doing well enough, and what should we do differently in your view?</w:t>
      </w:r>
    </w:p>
    <w:p w:rsidR="00BC41C2" w:rsidP="00BC41C2" w:rsidRDefault="00BC41C2" w14:paraId="4D618A27" w14:textId="2053018F">
      <w:pPr>
        <w:pStyle w:val="ListParagraph"/>
        <w:numPr>
          <w:ilvl w:val="0"/>
          <w:numId w:val="21"/>
        </w:numPr>
        <w:pBdr>
          <w:top w:val="single" w:color="auto" w:sz="4" w:space="1"/>
          <w:left w:val="single" w:color="auto" w:sz="4" w:space="4"/>
          <w:bottom w:val="single" w:color="auto" w:sz="4" w:space="1"/>
          <w:right w:val="single" w:color="auto" w:sz="4" w:space="4"/>
        </w:pBdr>
        <w:spacing w:after="120"/>
        <w:jc w:val="both"/>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In view of limited resources, why does the sector continue to target 100% of people in need? Is a stronger prioritization effort required?</w:t>
      </w:r>
    </w:p>
    <w:p w:rsidRPr="001B6A27" w:rsidR="001B6A27" w:rsidP="001B6A27" w:rsidRDefault="00D1024C" w14:paraId="4443AE8F" w14:textId="0EBBF42C">
      <w:pPr>
        <w:pStyle w:val="ListParagraph"/>
        <w:numPr>
          <w:ilvl w:val="0"/>
          <w:numId w:val="21"/>
        </w:numPr>
        <w:pBdr>
          <w:top w:val="single" w:color="auto" w:sz="4" w:space="1"/>
          <w:left w:val="single" w:color="auto" w:sz="4" w:space="4"/>
          <w:bottom w:val="single" w:color="auto" w:sz="4" w:space="1"/>
          <w:right w:val="single" w:color="auto" w:sz="4" w:space="4"/>
        </w:pBdr>
        <w:spacing w:after="120"/>
        <w:jc w:val="both"/>
        <w:rPr>
          <w:rFonts w:asciiTheme="minorHAnsi" w:hAnsiTheme="minorHAnsi" w:cstheme="minorHAnsi"/>
          <w:b/>
          <w:bCs/>
          <w:color w:val="2F5496" w:themeColor="accent1" w:themeShade="BF"/>
          <w:sz w:val="20"/>
          <w:szCs w:val="20"/>
        </w:rPr>
      </w:pPr>
      <w:r w:rsidRPr="00002A7D">
        <w:rPr>
          <w:rFonts w:asciiTheme="minorHAnsi" w:hAnsiTheme="minorHAnsi" w:cstheme="minorHAnsi"/>
          <w:b/>
          <w:bCs/>
          <w:color w:val="2F5496" w:themeColor="accent1" w:themeShade="BF"/>
          <w:sz w:val="20"/>
          <w:szCs w:val="20"/>
        </w:rPr>
        <w:t xml:space="preserve">Given the likelihood of incomplete funding in 2021, what coordination efforts with other sectors – e.g. </w:t>
      </w:r>
      <w:r w:rsidR="00002A7D">
        <w:rPr>
          <w:rFonts w:asciiTheme="minorHAnsi" w:hAnsiTheme="minorHAnsi" w:cstheme="minorHAnsi"/>
          <w:b/>
          <w:bCs/>
          <w:color w:val="2F5496" w:themeColor="accent1" w:themeShade="BF"/>
          <w:sz w:val="20"/>
          <w:szCs w:val="20"/>
        </w:rPr>
        <w:t>Education, Health, Shelter and ERL (WASH facilities in schools, health facilities or communal infrastructure</w:t>
      </w:r>
      <w:r w:rsidR="001B6A27">
        <w:rPr>
          <w:rFonts w:asciiTheme="minorHAnsi" w:hAnsiTheme="minorHAnsi" w:cstheme="minorHAnsi"/>
          <w:b/>
          <w:bCs/>
          <w:color w:val="2F5496" w:themeColor="accent1" w:themeShade="BF"/>
          <w:sz w:val="20"/>
          <w:szCs w:val="20"/>
        </w:rPr>
        <w:t>)</w:t>
      </w:r>
      <w:r w:rsidR="00002A7D">
        <w:rPr>
          <w:rFonts w:asciiTheme="minorHAnsi" w:hAnsiTheme="minorHAnsi" w:cstheme="minorHAnsi"/>
          <w:b/>
          <w:bCs/>
          <w:color w:val="2F5496" w:themeColor="accent1" w:themeShade="BF"/>
          <w:sz w:val="20"/>
          <w:szCs w:val="20"/>
        </w:rPr>
        <w:t xml:space="preserve"> – are </w:t>
      </w:r>
      <w:r w:rsidRPr="00002A7D">
        <w:rPr>
          <w:rFonts w:asciiTheme="minorHAnsi" w:hAnsiTheme="minorHAnsi" w:cstheme="minorHAnsi"/>
          <w:b/>
          <w:bCs/>
          <w:color w:val="2F5496" w:themeColor="accent1" w:themeShade="BF"/>
          <w:sz w:val="20"/>
          <w:szCs w:val="20"/>
        </w:rPr>
        <w:t xml:space="preserve">under way to increase the impact of available resources? What are challenges </w:t>
      </w:r>
      <w:r w:rsidR="00002A7D">
        <w:rPr>
          <w:rFonts w:asciiTheme="minorHAnsi" w:hAnsiTheme="minorHAnsi" w:cstheme="minorHAnsi"/>
          <w:b/>
          <w:bCs/>
          <w:color w:val="2F5496" w:themeColor="accent1" w:themeShade="BF"/>
          <w:sz w:val="20"/>
          <w:szCs w:val="20"/>
        </w:rPr>
        <w:t>for multi-sectoral coordination in this regard? What should be s</w:t>
      </w:r>
      <w:r w:rsidRPr="00002A7D">
        <w:rPr>
          <w:rFonts w:asciiTheme="minorHAnsi" w:hAnsiTheme="minorHAnsi" w:cstheme="minorHAnsi"/>
          <w:b/>
          <w:bCs/>
          <w:color w:val="2F5496" w:themeColor="accent1" w:themeShade="BF"/>
          <w:sz w:val="20"/>
          <w:szCs w:val="20"/>
        </w:rPr>
        <w:t>trengthe</w:t>
      </w:r>
      <w:r w:rsidR="001B6A27">
        <w:rPr>
          <w:rFonts w:asciiTheme="minorHAnsi" w:hAnsiTheme="minorHAnsi" w:cstheme="minorHAnsi"/>
          <w:b/>
          <w:bCs/>
          <w:color w:val="2F5496" w:themeColor="accent1" w:themeShade="BF"/>
          <w:sz w:val="20"/>
          <w:szCs w:val="20"/>
        </w:rPr>
        <w:t>ned / done differently?</w:t>
      </w:r>
    </w:p>
    <w:p w:rsidRPr="00BC41C2" w:rsidR="00BC41C2" w:rsidP="00BC41C2" w:rsidRDefault="00BC41C2" w14:paraId="38AD0251" w14:textId="77777777">
      <w:pPr>
        <w:pBdr>
          <w:top w:val="single" w:color="auto" w:sz="4" w:space="1"/>
          <w:left w:val="single" w:color="auto" w:sz="4" w:space="4"/>
          <w:bottom w:val="single" w:color="auto" w:sz="4" w:space="1"/>
          <w:right w:val="single" w:color="auto" w:sz="4" w:space="4"/>
        </w:pBdr>
        <w:spacing w:after="120"/>
        <w:jc w:val="both"/>
        <w:rPr>
          <w:rFonts w:cstheme="minorHAnsi"/>
          <w:b/>
          <w:bCs/>
          <w:color w:val="2F5496" w:themeColor="accent1" w:themeShade="BF"/>
          <w:sz w:val="20"/>
          <w:szCs w:val="20"/>
        </w:rPr>
      </w:pPr>
    </w:p>
    <w:p w:rsidR="006A0CE5" w:rsidP="001B6A27" w:rsidRDefault="006A0CE5" w14:paraId="55185388" w14:textId="49041B9C">
      <w:pPr>
        <w:pStyle w:val="ListParagraph"/>
        <w:contextualSpacing/>
        <w:rPr>
          <w:rFonts w:cstheme="minorHAnsi"/>
          <w:b/>
          <w:bCs/>
          <w:sz w:val="20"/>
          <w:szCs w:val="20"/>
        </w:rPr>
      </w:pPr>
    </w:p>
    <w:p w:rsidRPr="008D6C3E" w:rsidR="00D13BB6" w:rsidP="006215F3" w:rsidRDefault="00D13BB6" w14:paraId="1CDCF8C1" w14:textId="1A494FA2">
      <w:pPr>
        <w:pStyle w:val="ListParagraph"/>
        <w:numPr>
          <w:ilvl w:val="0"/>
          <w:numId w:val="48"/>
        </w:numPr>
        <w:contextualSpacing/>
        <w:rPr>
          <w:rFonts w:cstheme="minorHAnsi"/>
          <w:b/>
          <w:bCs/>
          <w:sz w:val="20"/>
          <w:szCs w:val="20"/>
        </w:rPr>
      </w:pPr>
      <w:r w:rsidRPr="008D6C3E">
        <w:rPr>
          <w:rFonts w:cstheme="minorHAnsi"/>
          <w:b/>
          <w:bCs/>
          <w:sz w:val="20"/>
          <w:szCs w:val="20"/>
        </w:rPr>
        <w:t>2021 Key figures</w:t>
      </w:r>
      <w:r w:rsidR="00CE6DE6">
        <w:rPr>
          <w:rFonts w:cstheme="minorHAnsi"/>
          <w:b/>
          <w:bCs/>
          <w:sz w:val="20"/>
          <w:szCs w:val="20"/>
        </w:rPr>
        <w:t>:</w:t>
      </w:r>
    </w:p>
    <w:p w:rsidRPr="008D6C3E" w:rsidR="00CE6DE6" w:rsidP="00CE6DE6" w:rsidRDefault="00CE6DE6" w14:paraId="2EEA0053" w14:textId="77777777">
      <w:pPr>
        <w:pStyle w:val="ListParagraph"/>
        <w:contextualSpacing/>
        <w:rPr>
          <w:rFonts w:cstheme="minorHAnsi"/>
          <w:b/>
          <w:bCs/>
          <w:sz w:val="20"/>
          <w:szCs w:val="20"/>
        </w:rPr>
      </w:pPr>
    </w:p>
    <w:tbl>
      <w:tblPr>
        <w:tblStyle w:val="PlainTable4"/>
        <w:tblW w:w="9540" w:type="dxa"/>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24"/>
        <w:gridCol w:w="1232"/>
        <w:gridCol w:w="1230"/>
        <w:gridCol w:w="1232"/>
        <w:gridCol w:w="1232"/>
        <w:gridCol w:w="1232"/>
        <w:gridCol w:w="991"/>
        <w:gridCol w:w="1067"/>
      </w:tblGrid>
      <w:tr w:rsidR="009E519E" w:rsidTr="000355D3" w14:paraId="1A27DB03"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556" w:type="dxa"/>
            <w:gridSpan w:val="2"/>
          </w:tcPr>
          <w:p w:rsidRPr="00DC537A" w:rsidR="00D13BB6" w:rsidP="00CE6DE6" w:rsidRDefault="00D13BB6" w14:paraId="643FB75D" w14:textId="77777777">
            <w:pPr>
              <w:pStyle w:val="ListParagraph"/>
              <w:ind w:left="0"/>
            </w:pPr>
            <w:r w:rsidRPr="00DC537A">
              <w:t>People in Need</w:t>
            </w:r>
          </w:p>
        </w:tc>
        <w:tc>
          <w:tcPr>
            <w:tcW w:w="2462" w:type="dxa"/>
            <w:gridSpan w:val="2"/>
          </w:tcPr>
          <w:p w:rsidRPr="00DC537A" w:rsidR="00D13BB6" w:rsidP="00CE6DE6" w:rsidRDefault="00D13BB6" w14:paraId="7B6A4DE9" w14:textId="77777777">
            <w:pPr>
              <w:pStyle w:val="ListParagraph"/>
              <w:ind w:left="0"/>
              <w:cnfStyle w:val="100000000000" w:firstRow="1" w:lastRow="0" w:firstColumn="0" w:lastColumn="0" w:oddVBand="0" w:evenVBand="0" w:oddHBand="0" w:evenHBand="0" w:firstRowFirstColumn="0" w:firstRowLastColumn="0" w:lastRowFirstColumn="0" w:lastRowLastColumn="0"/>
            </w:pPr>
            <w:r w:rsidRPr="00DC537A">
              <w:t>Target</w:t>
            </w:r>
          </w:p>
        </w:tc>
        <w:tc>
          <w:tcPr>
            <w:tcW w:w="2464" w:type="dxa"/>
            <w:gridSpan w:val="2"/>
          </w:tcPr>
          <w:p w:rsidRPr="00DC537A" w:rsidR="00D13BB6" w:rsidP="00CE6DE6" w:rsidRDefault="00D13BB6" w14:paraId="383BEFC3" w14:textId="77777777">
            <w:pPr>
              <w:pStyle w:val="ListParagraph"/>
              <w:ind w:left="0"/>
              <w:cnfStyle w:val="100000000000" w:firstRow="1" w:lastRow="0" w:firstColumn="0" w:lastColumn="0" w:oddVBand="0" w:evenVBand="0" w:oddHBand="0" w:evenHBand="0" w:firstRowFirstColumn="0" w:firstRowLastColumn="0" w:lastRowFirstColumn="0" w:lastRowLastColumn="0"/>
            </w:pPr>
            <w:r w:rsidRPr="00DC537A">
              <w:t>Funding requirements</w:t>
            </w:r>
          </w:p>
        </w:tc>
        <w:tc>
          <w:tcPr>
            <w:tcW w:w="991" w:type="dxa"/>
          </w:tcPr>
          <w:p w:rsidRPr="00DC537A" w:rsidR="00D13BB6" w:rsidP="00191CB2" w:rsidRDefault="00D13BB6" w14:paraId="6E69D917" w14:textId="3F2C05C1">
            <w:pPr>
              <w:pStyle w:val="ListParagraph"/>
              <w:ind w:left="0"/>
              <w:cnfStyle w:val="100000000000" w:firstRow="1" w:lastRow="0" w:firstColumn="0" w:lastColumn="0" w:oddVBand="0" w:evenVBand="0" w:oddHBand="0" w:evenHBand="0" w:firstRowFirstColumn="0" w:firstRowLastColumn="0" w:lastRowFirstColumn="0" w:lastRowLastColumn="0"/>
            </w:pPr>
            <w:r w:rsidRPr="00DC537A">
              <w:t>Partners</w:t>
            </w:r>
          </w:p>
        </w:tc>
        <w:tc>
          <w:tcPr>
            <w:tcW w:w="1067" w:type="dxa"/>
          </w:tcPr>
          <w:p w:rsidRPr="00DC537A" w:rsidR="00D13BB6" w:rsidP="00191CB2" w:rsidRDefault="00D13BB6" w14:paraId="6DBA2B9B" w14:textId="16E58340">
            <w:pPr>
              <w:pStyle w:val="ListParagraph"/>
              <w:ind w:left="0"/>
              <w:cnfStyle w:val="100000000000" w:firstRow="1" w:lastRow="0" w:firstColumn="0" w:lastColumn="0" w:oddVBand="0" w:evenVBand="0" w:oddHBand="0" w:evenHBand="0" w:firstRowFirstColumn="0" w:firstRowLastColumn="0" w:lastRowFirstColumn="0" w:lastRowLastColumn="0"/>
            </w:pPr>
            <w:r w:rsidRPr="00DC537A">
              <w:t>Projects</w:t>
            </w:r>
          </w:p>
        </w:tc>
      </w:tr>
      <w:tr w:rsidR="00346F4A" w:rsidTr="000355D3" w14:paraId="16627FA3" w14:textId="7777777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24" w:type="dxa"/>
          </w:tcPr>
          <w:p w:rsidRPr="005374CC" w:rsidR="00D13BB6" w:rsidP="00CE6DE6" w:rsidRDefault="00D13BB6" w14:paraId="0609C5C1" w14:textId="77777777">
            <w:pPr>
              <w:pStyle w:val="ListParagraph"/>
              <w:ind w:left="0"/>
              <w:jc w:val="center"/>
              <w:rPr>
                <w:b w:val="0"/>
                <w:bCs w:val="0"/>
                <w:i/>
                <w:iCs/>
                <w:sz w:val="14"/>
                <w:szCs w:val="14"/>
              </w:rPr>
            </w:pPr>
            <w:r w:rsidRPr="005374CC">
              <w:rPr>
                <w:b w:val="0"/>
                <w:bCs w:val="0"/>
                <w:i/>
                <w:iCs/>
                <w:sz w:val="14"/>
                <w:szCs w:val="14"/>
              </w:rPr>
              <w:t>In million</w:t>
            </w:r>
          </w:p>
        </w:tc>
        <w:tc>
          <w:tcPr>
            <w:tcW w:w="1232" w:type="dxa"/>
          </w:tcPr>
          <w:p w:rsidRPr="005374CC" w:rsidR="00D13BB6" w:rsidP="00CE6DE6" w:rsidRDefault="00D13BB6" w14:paraId="3FF4316A"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i/>
                <w:iCs/>
                <w:sz w:val="14"/>
                <w:szCs w:val="14"/>
              </w:rPr>
            </w:pPr>
            <w:r w:rsidRPr="005374CC">
              <w:rPr>
                <w:i/>
                <w:iCs/>
                <w:sz w:val="14"/>
                <w:szCs w:val="14"/>
              </w:rPr>
              <w:t>% variation in 2020</w:t>
            </w:r>
          </w:p>
        </w:tc>
        <w:tc>
          <w:tcPr>
            <w:tcW w:w="1230" w:type="dxa"/>
          </w:tcPr>
          <w:p w:rsidRPr="005374CC" w:rsidR="00D13BB6" w:rsidP="00CE6DE6" w:rsidRDefault="00D13BB6" w14:paraId="1618811C"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In million</w:t>
            </w:r>
          </w:p>
        </w:tc>
        <w:tc>
          <w:tcPr>
            <w:tcW w:w="1232" w:type="dxa"/>
          </w:tcPr>
          <w:p w:rsidRPr="005374CC" w:rsidR="00D13BB6" w:rsidP="00CE6DE6" w:rsidRDefault="00D13BB6" w14:paraId="451DBB3B"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1232" w:type="dxa"/>
          </w:tcPr>
          <w:p w:rsidRPr="005374CC" w:rsidR="00D13BB6" w:rsidP="00191CB2" w:rsidRDefault="00D13BB6" w14:paraId="20A498C8"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US$</w:t>
            </w:r>
          </w:p>
        </w:tc>
        <w:tc>
          <w:tcPr>
            <w:tcW w:w="1232" w:type="dxa"/>
          </w:tcPr>
          <w:p w:rsidRPr="005374CC" w:rsidR="00D13BB6" w:rsidP="00191CB2" w:rsidRDefault="00D13BB6" w14:paraId="6585FC08"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i/>
                <w:iCs/>
                <w:sz w:val="14"/>
                <w:szCs w:val="14"/>
              </w:rPr>
            </w:pPr>
            <w:r w:rsidRPr="005374CC">
              <w:rPr>
                <w:i/>
                <w:iCs/>
                <w:sz w:val="14"/>
                <w:szCs w:val="14"/>
              </w:rPr>
              <w:t>% variation in 2020</w:t>
            </w:r>
          </w:p>
        </w:tc>
        <w:tc>
          <w:tcPr>
            <w:tcW w:w="991" w:type="dxa"/>
            <w:vMerge w:val="restart"/>
          </w:tcPr>
          <w:p w:rsidR="00D13BB6" w:rsidP="00191CB2" w:rsidRDefault="00D13BB6" w14:paraId="6022B4C4"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D13BB6" w:rsidP="00191CB2" w:rsidRDefault="00D13BB6" w14:paraId="2E7DB8B1"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73</w:t>
            </w:r>
            <w:r w:rsidRPr="003750C5">
              <w:t>(+2)</w:t>
            </w:r>
          </w:p>
        </w:tc>
        <w:tc>
          <w:tcPr>
            <w:tcW w:w="1067" w:type="dxa"/>
            <w:vMerge w:val="restart"/>
          </w:tcPr>
          <w:p w:rsidR="00D13BB6" w:rsidP="00191CB2" w:rsidRDefault="00D13BB6" w14:paraId="282330F3"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p>
          <w:p w:rsidR="00D13BB6" w:rsidP="00191CB2" w:rsidRDefault="00D13BB6" w14:paraId="69199B2A"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b/>
                <w:bCs/>
              </w:rPr>
            </w:pPr>
            <w:r>
              <w:rPr>
                <w:b/>
                <w:bCs/>
              </w:rPr>
              <w:t>77</w:t>
            </w:r>
            <w:r w:rsidRPr="003750C5">
              <w:t>(-10)</w:t>
            </w:r>
          </w:p>
        </w:tc>
      </w:tr>
      <w:tr w:rsidR="0099260D" w:rsidTr="000355D3" w14:paraId="442BDE19" w14:textId="77777777">
        <w:trPr>
          <w:trHeight w:val="288"/>
        </w:trPr>
        <w:tc>
          <w:tcPr>
            <w:cnfStyle w:val="001000000000" w:firstRow="0" w:lastRow="0" w:firstColumn="1" w:lastColumn="0" w:oddVBand="0" w:evenVBand="0" w:oddHBand="0" w:evenHBand="0" w:firstRowFirstColumn="0" w:firstRowLastColumn="0" w:lastRowFirstColumn="0" w:lastRowLastColumn="0"/>
            <w:tcW w:w="1324" w:type="dxa"/>
          </w:tcPr>
          <w:p w:rsidRPr="00EF04B2" w:rsidR="00D13BB6" w:rsidP="00CE6DE6" w:rsidRDefault="00D13BB6" w14:paraId="5BC760D6" w14:textId="77777777">
            <w:pPr>
              <w:pStyle w:val="ListParagraph"/>
              <w:ind w:left="0"/>
              <w:jc w:val="center"/>
            </w:pPr>
            <w:r w:rsidRPr="00EF04B2">
              <w:t>12.2</w:t>
            </w:r>
          </w:p>
        </w:tc>
        <w:tc>
          <w:tcPr>
            <w:tcW w:w="1232" w:type="dxa"/>
          </w:tcPr>
          <w:p w:rsidRPr="00EF04B2" w:rsidR="00D13BB6" w:rsidP="00CE6DE6" w:rsidRDefault="00D13BB6" w14:paraId="0ADADCAB"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F04B2">
              <w:t>13.6%</w:t>
            </w:r>
          </w:p>
        </w:tc>
        <w:tc>
          <w:tcPr>
            <w:tcW w:w="1230" w:type="dxa"/>
          </w:tcPr>
          <w:p w:rsidRPr="00EF04B2" w:rsidR="00D13BB6" w:rsidP="00CE6DE6" w:rsidRDefault="00D13BB6" w14:paraId="09504751"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r w:rsidRPr="00EF04B2">
              <w:rPr>
                <w:b/>
                <w:bCs/>
              </w:rPr>
              <w:t>12.2</w:t>
            </w:r>
          </w:p>
        </w:tc>
        <w:tc>
          <w:tcPr>
            <w:tcW w:w="1232" w:type="dxa"/>
          </w:tcPr>
          <w:p w:rsidRPr="00EF04B2" w:rsidR="00D13BB6" w:rsidP="00CE6DE6" w:rsidRDefault="00D13BB6" w14:paraId="67CCB4EE"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F04B2">
              <w:t>13.6%</w:t>
            </w:r>
          </w:p>
        </w:tc>
        <w:tc>
          <w:tcPr>
            <w:tcW w:w="1232" w:type="dxa"/>
          </w:tcPr>
          <w:p w:rsidR="00CE6DE6" w:rsidP="00CE6DE6" w:rsidRDefault="00D13BB6" w14:paraId="19A1B3BD"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rPr>
                <w:b/>
                <w:bCs/>
              </w:rPr>
            </w:pPr>
            <w:r w:rsidRPr="00EF04B2">
              <w:rPr>
                <w:b/>
                <w:bCs/>
              </w:rPr>
              <w:t>295.5</w:t>
            </w:r>
          </w:p>
          <w:p w:rsidRPr="001B6A27" w:rsidR="00D13BB6" w:rsidP="00191CB2" w:rsidRDefault="00D13BB6" w14:paraId="33460BBE" w14:textId="5538A305">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1B6A27">
              <w:rPr>
                <w:sz w:val="18"/>
                <w:szCs w:val="18"/>
              </w:rPr>
              <w:t>(incl.</w:t>
            </w:r>
            <w:r w:rsidRPr="001B6A27" w:rsidR="00CE6DE6">
              <w:rPr>
                <w:sz w:val="18"/>
                <w:szCs w:val="18"/>
              </w:rPr>
              <w:t xml:space="preserve"> </w:t>
            </w:r>
            <w:r w:rsidRPr="001B6A27">
              <w:rPr>
                <w:sz w:val="18"/>
                <w:szCs w:val="18"/>
              </w:rPr>
              <w:t>MPC)</w:t>
            </w:r>
          </w:p>
        </w:tc>
        <w:tc>
          <w:tcPr>
            <w:tcW w:w="1232" w:type="dxa"/>
          </w:tcPr>
          <w:p w:rsidRPr="00EF04B2" w:rsidR="00D13BB6" w:rsidP="00191CB2" w:rsidRDefault="00D13BB6" w14:paraId="213D467A"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F04B2">
              <w:t>-23%</w:t>
            </w:r>
          </w:p>
        </w:tc>
        <w:tc>
          <w:tcPr>
            <w:tcW w:w="991" w:type="dxa"/>
            <w:vMerge/>
          </w:tcPr>
          <w:p w:rsidR="00D13BB6" w:rsidP="00191CB2" w:rsidRDefault="00D13BB6" w14:paraId="46C5709D"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c>
          <w:tcPr>
            <w:tcW w:w="1067" w:type="dxa"/>
            <w:vMerge/>
          </w:tcPr>
          <w:p w:rsidR="00D13BB6" w:rsidP="00191CB2" w:rsidRDefault="00D13BB6" w14:paraId="1F7E1D04" w14:textId="77777777">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r>
    </w:tbl>
    <w:p w:rsidRPr="008D6C3E" w:rsidR="00D13BB6" w:rsidP="00D13BB6" w:rsidRDefault="00D13BB6" w14:paraId="61F42F09" w14:textId="77777777">
      <w:pPr>
        <w:pStyle w:val="ListParagraph"/>
        <w:ind w:left="360"/>
        <w:rPr>
          <w:rFonts w:cstheme="minorHAnsi"/>
          <w:sz w:val="20"/>
          <w:szCs w:val="20"/>
        </w:rPr>
      </w:pPr>
    </w:p>
    <w:p w:rsidRPr="006215F3" w:rsidR="00D13BB6" w:rsidP="006215F3" w:rsidRDefault="00D13BB6" w14:paraId="6FBD50D2" w14:textId="3DFFEA50">
      <w:pPr>
        <w:pStyle w:val="ListParagraph"/>
        <w:numPr>
          <w:ilvl w:val="0"/>
          <w:numId w:val="48"/>
        </w:numPr>
        <w:contextualSpacing/>
        <w:rPr>
          <w:rFonts w:cstheme="minorHAnsi"/>
          <w:b/>
          <w:bCs/>
          <w:sz w:val="20"/>
          <w:szCs w:val="20"/>
        </w:rPr>
      </w:pPr>
      <w:r w:rsidRPr="006215F3">
        <w:rPr>
          <w:rFonts w:cstheme="minorHAnsi"/>
          <w:b/>
          <w:bCs/>
          <w:sz w:val="20"/>
          <w:szCs w:val="20"/>
        </w:rPr>
        <w:t xml:space="preserve">Most significant response gaps in 2020: </w:t>
      </w:r>
    </w:p>
    <w:p w:rsidRPr="008D6C3E" w:rsidR="00D13BB6" w:rsidP="00EA1163" w:rsidRDefault="00D13BB6" w14:paraId="4CD27F5A" w14:textId="204D6ADF">
      <w:pPr>
        <w:pStyle w:val="ListParagraph"/>
        <w:numPr>
          <w:ilvl w:val="0"/>
          <w:numId w:val="42"/>
        </w:numPr>
        <w:spacing w:after="160"/>
        <w:contextualSpacing/>
        <w:jc w:val="both"/>
        <w:rPr>
          <w:rFonts w:cstheme="minorHAnsi"/>
          <w:sz w:val="20"/>
          <w:szCs w:val="20"/>
        </w:rPr>
      </w:pPr>
      <w:r w:rsidRPr="008D6C3E">
        <w:rPr>
          <w:rFonts w:cstheme="minorHAnsi"/>
          <w:sz w:val="20"/>
          <w:szCs w:val="20"/>
        </w:rPr>
        <w:t>Around 3 million people (50% of target due to underfunding and access constraints</w:t>
      </w:r>
      <w:r w:rsidR="00CE6DE6">
        <w:rPr>
          <w:rFonts w:cstheme="minorHAnsi"/>
          <w:sz w:val="20"/>
          <w:szCs w:val="20"/>
        </w:rPr>
        <w:t>)</w:t>
      </w:r>
      <w:r w:rsidRPr="008D6C3E">
        <w:rPr>
          <w:rFonts w:cstheme="minorHAnsi"/>
          <w:sz w:val="20"/>
          <w:szCs w:val="20"/>
        </w:rPr>
        <w:t xml:space="preserve"> benefited from repair and rehabilitation of potable water systems (the most equitable, accessible, and safer way to provide water to the highest number). Similarly, activities focusing on </w:t>
      </w:r>
      <w:r w:rsidR="00CE6DE6">
        <w:rPr>
          <w:rFonts w:cstheme="minorHAnsi"/>
          <w:sz w:val="20"/>
          <w:szCs w:val="20"/>
        </w:rPr>
        <w:t>ensuring the</w:t>
      </w:r>
      <w:r w:rsidRPr="008D6C3E">
        <w:rPr>
          <w:rFonts w:cstheme="minorHAnsi"/>
          <w:sz w:val="20"/>
          <w:szCs w:val="20"/>
        </w:rPr>
        <w:t xml:space="preserve"> operation</w:t>
      </w:r>
      <w:r w:rsidR="00CE6DE6">
        <w:rPr>
          <w:rFonts w:cstheme="minorHAnsi"/>
          <w:sz w:val="20"/>
          <w:szCs w:val="20"/>
        </w:rPr>
        <w:t>ality</w:t>
      </w:r>
      <w:r w:rsidRPr="008D6C3E">
        <w:rPr>
          <w:rFonts w:cstheme="minorHAnsi"/>
          <w:sz w:val="20"/>
          <w:szCs w:val="20"/>
        </w:rPr>
        <w:t xml:space="preserve"> and maintenance </w:t>
      </w:r>
      <w:r w:rsidR="00CE6DE6">
        <w:rPr>
          <w:rFonts w:cstheme="minorHAnsi"/>
          <w:sz w:val="20"/>
          <w:szCs w:val="20"/>
        </w:rPr>
        <w:t>of</w:t>
      </w:r>
      <w:r w:rsidRPr="008D6C3E">
        <w:rPr>
          <w:rFonts w:cstheme="minorHAnsi"/>
          <w:sz w:val="20"/>
          <w:szCs w:val="20"/>
        </w:rPr>
        <w:t xml:space="preserve"> water supply systems had limited reach.</w:t>
      </w:r>
    </w:p>
    <w:p w:rsidRPr="008D6C3E" w:rsidR="00D13BB6" w:rsidP="00EA1163" w:rsidRDefault="00D13BB6" w14:paraId="426C6B4C" w14:textId="2FC44B39">
      <w:pPr>
        <w:pStyle w:val="ListParagraph"/>
        <w:numPr>
          <w:ilvl w:val="0"/>
          <w:numId w:val="42"/>
        </w:numPr>
        <w:spacing w:after="160"/>
        <w:contextualSpacing/>
        <w:jc w:val="both"/>
        <w:rPr>
          <w:rFonts w:cstheme="minorHAnsi"/>
          <w:sz w:val="20"/>
          <w:szCs w:val="20"/>
        </w:rPr>
      </w:pPr>
      <w:r w:rsidRPr="008D6C3E">
        <w:rPr>
          <w:rFonts w:cstheme="minorHAnsi"/>
          <w:sz w:val="20"/>
          <w:szCs w:val="20"/>
        </w:rPr>
        <w:t xml:space="preserve">Due to access restrictions, rapid onset emergencies, security constraints, COVID-19, </w:t>
      </w:r>
      <w:r w:rsidR="00CE6DE6">
        <w:rPr>
          <w:rFonts w:cstheme="minorHAnsi"/>
          <w:sz w:val="20"/>
          <w:szCs w:val="20"/>
        </w:rPr>
        <w:t xml:space="preserve">the </w:t>
      </w:r>
      <w:r w:rsidRPr="008D6C3E">
        <w:rPr>
          <w:rFonts w:cstheme="minorHAnsi"/>
          <w:sz w:val="20"/>
          <w:szCs w:val="20"/>
        </w:rPr>
        <w:t>economic crisis limit</w:t>
      </w:r>
      <w:r w:rsidR="00CE6DE6">
        <w:rPr>
          <w:rFonts w:cstheme="minorHAnsi"/>
          <w:sz w:val="20"/>
          <w:szCs w:val="20"/>
        </w:rPr>
        <w:t>ing</w:t>
      </w:r>
      <w:r w:rsidRPr="008D6C3E">
        <w:rPr>
          <w:rFonts w:cstheme="minorHAnsi"/>
          <w:sz w:val="20"/>
          <w:szCs w:val="20"/>
        </w:rPr>
        <w:t xml:space="preserve"> operational capacities, underfunding etc. the sector was not able to reach people </w:t>
      </w:r>
      <w:r w:rsidR="00CE6DE6">
        <w:rPr>
          <w:rFonts w:cstheme="minorHAnsi"/>
          <w:sz w:val="20"/>
          <w:szCs w:val="20"/>
        </w:rPr>
        <w:t>with</w:t>
      </w:r>
      <w:r w:rsidRPr="008D6C3E">
        <w:rPr>
          <w:rFonts w:cstheme="minorHAnsi"/>
          <w:sz w:val="20"/>
          <w:szCs w:val="20"/>
        </w:rPr>
        <w:t xml:space="preserve"> WASH needs in several parts of Syria (Southern Syria, Rural Damascus </w:t>
      </w:r>
      <w:r w:rsidR="00CE6DE6">
        <w:rPr>
          <w:rFonts w:cstheme="minorHAnsi"/>
          <w:sz w:val="20"/>
          <w:szCs w:val="20"/>
        </w:rPr>
        <w:t>and</w:t>
      </w:r>
      <w:r w:rsidRPr="008D6C3E">
        <w:rPr>
          <w:rFonts w:cstheme="minorHAnsi"/>
          <w:sz w:val="20"/>
          <w:szCs w:val="20"/>
        </w:rPr>
        <w:t xml:space="preserve"> Deir-</w:t>
      </w:r>
      <w:proofErr w:type="spellStart"/>
      <w:r w:rsidRPr="008D6C3E">
        <w:rPr>
          <w:rFonts w:cstheme="minorHAnsi"/>
          <w:sz w:val="20"/>
          <w:szCs w:val="20"/>
        </w:rPr>
        <w:t>ez</w:t>
      </w:r>
      <w:proofErr w:type="spellEnd"/>
      <w:r w:rsidRPr="008D6C3E">
        <w:rPr>
          <w:rFonts w:cstheme="minorHAnsi"/>
          <w:sz w:val="20"/>
          <w:szCs w:val="20"/>
        </w:rPr>
        <w:t>-</w:t>
      </w:r>
      <w:proofErr w:type="spellStart"/>
      <w:r w:rsidRPr="008D6C3E">
        <w:rPr>
          <w:rFonts w:cstheme="minorHAnsi"/>
          <w:sz w:val="20"/>
          <w:szCs w:val="20"/>
        </w:rPr>
        <w:t>Zor</w:t>
      </w:r>
      <w:proofErr w:type="spellEnd"/>
      <w:r w:rsidR="00CE6DE6">
        <w:rPr>
          <w:rFonts w:cstheme="minorHAnsi"/>
          <w:sz w:val="20"/>
          <w:szCs w:val="20"/>
        </w:rPr>
        <w:t xml:space="preserve">). </w:t>
      </w:r>
    </w:p>
    <w:p w:rsidR="00D13BB6" w:rsidP="00EA1163" w:rsidRDefault="00D13BB6" w14:paraId="545D2703" w14:textId="55AF1CE8">
      <w:pPr>
        <w:pStyle w:val="ListParagraph"/>
        <w:numPr>
          <w:ilvl w:val="0"/>
          <w:numId w:val="42"/>
        </w:numPr>
        <w:spacing w:after="160"/>
        <w:contextualSpacing/>
        <w:jc w:val="both"/>
        <w:rPr>
          <w:rFonts w:cstheme="minorHAnsi"/>
          <w:sz w:val="20"/>
          <w:szCs w:val="20"/>
        </w:rPr>
      </w:pPr>
      <w:r w:rsidRPr="008D6C3E">
        <w:rPr>
          <w:rFonts w:cstheme="minorHAnsi"/>
          <w:sz w:val="20"/>
          <w:szCs w:val="20"/>
        </w:rPr>
        <w:t xml:space="preserve">Ensuring appropriate sanitation facilities and services for nearly 2 million people in IDP sites across Syria has been a challenge. </w:t>
      </w:r>
      <w:r w:rsidR="00CE6DE6">
        <w:rPr>
          <w:rFonts w:cstheme="minorHAnsi"/>
          <w:sz w:val="20"/>
          <w:szCs w:val="20"/>
        </w:rPr>
        <w:t>F</w:t>
      </w:r>
      <w:r w:rsidRPr="008D6C3E">
        <w:rPr>
          <w:rFonts w:cstheme="minorHAnsi"/>
          <w:sz w:val="20"/>
          <w:szCs w:val="20"/>
        </w:rPr>
        <w:t>urther investment</w:t>
      </w:r>
      <w:r w:rsidR="00CE6DE6">
        <w:rPr>
          <w:rFonts w:cstheme="minorHAnsi"/>
          <w:sz w:val="20"/>
          <w:szCs w:val="20"/>
        </w:rPr>
        <w:t>s</w:t>
      </w:r>
      <w:r w:rsidRPr="008D6C3E">
        <w:rPr>
          <w:rFonts w:cstheme="minorHAnsi"/>
          <w:sz w:val="20"/>
          <w:szCs w:val="20"/>
        </w:rPr>
        <w:t xml:space="preserve"> in rehabilitation and maintenance of WASH facilities as well as, wherever feasible, in more sustainable solutions to minimize operational cost </w:t>
      </w:r>
      <w:r w:rsidR="00CE6DE6">
        <w:rPr>
          <w:rFonts w:cstheme="minorHAnsi"/>
          <w:sz w:val="20"/>
          <w:szCs w:val="20"/>
        </w:rPr>
        <w:t>are required</w:t>
      </w:r>
      <w:r w:rsidRPr="008D6C3E">
        <w:rPr>
          <w:rFonts w:cstheme="minorHAnsi"/>
          <w:sz w:val="20"/>
          <w:szCs w:val="20"/>
        </w:rPr>
        <w:t xml:space="preserve">.   </w:t>
      </w:r>
    </w:p>
    <w:p w:rsidRPr="008D6C3E" w:rsidR="00D13BB6" w:rsidP="00D13BB6" w:rsidRDefault="00D13BB6" w14:paraId="14AE8738" w14:textId="77777777">
      <w:pPr>
        <w:pStyle w:val="ListParagraph"/>
        <w:jc w:val="both"/>
        <w:rPr>
          <w:rFonts w:cstheme="minorHAnsi"/>
          <w:sz w:val="20"/>
          <w:szCs w:val="20"/>
        </w:rPr>
      </w:pPr>
    </w:p>
    <w:p w:rsidRPr="00F12FF9" w:rsidR="00D13BB6" w:rsidP="006215F3" w:rsidRDefault="00D13BB6" w14:paraId="6209CE6F" w14:textId="1D1F48A0">
      <w:pPr>
        <w:pStyle w:val="ListParagraph"/>
        <w:numPr>
          <w:ilvl w:val="0"/>
          <w:numId w:val="48"/>
        </w:numPr>
      </w:pPr>
      <w:r w:rsidRPr="006215F3">
        <w:rPr>
          <w:rFonts w:cstheme="minorHAnsi"/>
          <w:b/>
          <w:bCs/>
          <w:sz w:val="20"/>
          <w:szCs w:val="20"/>
        </w:rPr>
        <w:t>Critical sector priorities in 2021:</w:t>
      </w:r>
      <w:r w:rsidRPr="008D6C3E">
        <w:rPr>
          <w:b/>
          <w:bCs/>
          <w:sz w:val="20"/>
          <w:szCs w:val="20"/>
        </w:rPr>
        <w:t xml:space="preserve">   </w:t>
      </w:r>
    </w:p>
    <w:p w:rsidRPr="008D6C3E" w:rsidR="00D13BB6" w:rsidP="00EA1163" w:rsidRDefault="00D13BB6" w14:paraId="00306C78" w14:textId="3FA71688">
      <w:pPr>
        <w:pStyle w:val="ListParagraph"/>
        <w:numPr>
          <w:ilvl w:val="0"/>
          <w:numId w:val="45"/>
        </w:numPr>
        <w:spacing w:after="160"/>
        <w:contextualSpacing/>
        <w:jc w:val="both"/>
        <w:rPr>
          <w:rFonts w:cstheme="minorHAnsi"/>
          <w:sz w:val="20"/>
          <w:szCs w:val="20"/>
        </w:rPr>
      </w:pPr>
      <w:r w:rsidRPr="008D6C3E">
        <w:rPr>
          <w:rFonts w:cstheme="minorHAnsi"/>
          <w:sz w:val="20"/>
          <w:szCs w:val="20"/>
        </w:rPr>
        <w:t xml:space="preserve">Sustain </w:t>
      </w:r>
      <w:r w:rsidR="00CE6DE6">
        <w:rPr>
          <w:rFonts w:cstheme="minorHAnsi"/>
          <w:sz w:val="20"/>
          <w:szCs w:val="20"/>
        </w:rPr>
        <w:t>the</w:t>
      </w:r>
      <w:r w:rsidRPr="008D6C3E">
        <w:rPr>
          <w:rFonts w:cstheme="minorHAnsi"/>
          <w:sz w:val="20"/>
          <w:szCs w:val="20"/>
        </w:rPr>
        <w:t xml:space="preserve"> provision of </w:t>
      </w:r>
      <w:r w:rsidR="00CE6DE6">
        <w:rPr>
          <w:rFonts w:cstheme="minorHAnsi"/>
          <w:sz w:val="20"/>
          <w:szCs w:val="20"/>
        </w:rPr>
        <w:t xml:space="preserve">a </w:t>
      </w:r>
      <w:r w:rsidRPr="008D6C3E">
        <w:rPr>
          <w:rFonts w:cstheme="minorHAnsi"/>
          <w:sz w:val="20"/>
          <w:szCs w:val="20"/>
        </w:rPr>
        <w:t>comprehensive WASH package throughout the year for 2 million IDPs in 1,750 last-resort sites across NW</w:t>
      </w:r>
      <w:r w:rsidR="00CE6DE6">
        <w:rPr>
          <w:rFonts w:cstheme="minorHAnsi"/>
          <w:sz w:val="20"/>
          <w:szCs w:val="20"/>
        </w:rPr>
        <w:t>S</w:t>
      </w:r>
      <w:r w:rsidRPr="008D6C3E">
        <w:rPr>
          <w:rFonts w:cstheme="minorHAnsi"/>
          <w:sz w:val="20"/>
          <w:szCs w:val="20"/>
        </w:rPr>
        <w:t xml:space="preserve"> and NE</w:t>
      </w:r>
      <w:r w:rsidR="00CE6DE6">
        <w:rPr>
          <w:rFonts w:cstheme="minorHAnsi"/>
          <w:sz w:val="20"/>
          <w:szCs w:val="20"/>
        </w:rPr>
        <w:t>S,</w:t>
      </w:r>
      <w:r w:rsidRPr="008D6C3E">
        <w:rPr>
          <w:rFonts w:cstheme="minorHAnsi"/>
          <w:sz w:val="20"/>
          <w:szCs w:val="20"/>
        </w:rPr>
        <w:t xml:space="preserve"> considering more sustainable solutions </w:t>
      </w:r>
      <w:r w:rsidRPr="008D6C3E" w:rsidR="00CE6DE6">
        <w:rPr>
          <w:rFonts w:cstheme="minorHAnsi"/>
          <w:sz w:val="20"/>
          <w:szCs w:val="20"/>
        </w:rPr>
        <w:t>where and when</w:t>
      </w:r>
      <w:r w:rsidR="00CE6DE6">
        <w:rPr>
          <w:rFonts w:cstheme="minorHAnsi"/>
          <w:sz w:val="20"/>
          <w:szCs w:val="20"/>
        </w:rPr>
        <w:t>ever</w:t>
      </w:r>
      <w:r w:rsidRPr="008D6C3E" w:rsidR="00CE6DE6">
        <w:rPr>
          <w:rFonts w:cstheme="minorHAnsi"/>
          <w:sz w:val="20"/>
          <w:szCs w:val="20"/>
        </w:rPr>
        <w:t xml:space="preserve"> possible </w:t>
      </w:r>
      <w:r w:rsidRPr="008D6C3E">
        <w:rPr>
          <w:rFonts w:cstheme="minorHAnsi"/>
          <w:sz w:val="20"/>
          <w:szCs w:val="20"/>
        </w:rPr>
        <w:t>(</w:t>
      </w:r>
      <w:r w:rsidR="00CE6DE6">
        <w:rPr>
          <w:rFonts w:cstheme="minorHAnsi"/>
          <w:sz w:val="20"/>
          <w:szCs w:val="20"/>
        </w:rPr>
        <w:t xml:space="preserve">e.g. </w:t>
      </w:r>
      <w:r w:rsidRPr="008D6C3E">
        <w:rPr>
          <w:rFonts w:cstheme="minorHAnsi"/>
          <w:sz w:val="20"/>
          <w:szCs w:val="20"/>
        </w:rPr>
        <w:t>connection to existing and/or establishment of simplified water and sewer networks).</w:t>
      </w:r>
    </w:p>
    <w:p w:rsidRPr="008D6C3E" w:rsidR="00D13BB6" w:rsidP="00EA1163" w:rsidRDefault="00D13BB6" w14:paraId="5CBDDEC8" w14:textId="5CA0784E">
      <w:pPr>
        <w:pStyle w:val="ListParagraph"/>
        <w:numPr>
          <w:ilvl w:val="0"/>
          <w:numId w:val="45"/>
        </w:numPr>
        <w:spacing w:after="160"/>
        <w:contextualSpacing/>
        <w:jc w:val="both"/>
        <w:rPr>
          <w:rFonts w:cstheme="minorHAnsi"/>
          <w:sz w:val="20"/>
          <w:szCs w:val="20"/>
        </w:rPr>
      </w:pPr>
      <w:r w:rsidRPr="008D6C3E">
        <w:rPr>
          <w:rFonts w:cstheme="minorHAnsi"/>
          <w:sz w:val="20"/>
          <w:szCs w:val="20"/>
        </w:rPr>
        <w:t xml:space="preserve">In light of </w:t>
      </w:r>
      <w:r w:rsidR="00CE6DE6">
        <w:rPr>
          <w:rFonts w:cstheme="minorHAnsi"/>
          <w:sz w:val="20"/>
          <w:szCs w:val="20"/>
        </w:rPr>
        <w:t xml:space="preserve">the </w:t>
      </w:r>
      <w:r w:rsidRPr="008D6C3E">
        <w:rPr>
          <w:rFonts w:cstheme="minorHAnsi"/>
          <w:sz w:val="20"/>
          <w:szCs w:val="20"/>
        </w:rPr>
        <w:t xml:space="preserve">ongoing drought and dramatically low water flow in the Euphrates, priority will be </w:t>
      </w:r>
      <w:r w:rsidR="00CE6DE6">
        <w:rPr>
          <w:rFonts w:cstheme="minorHAnsi"/>
          <w:sz w:val="20"/>
          <w:szCs w:val="20"/>
        </w:rPr>
        <w:t xml:space="preserve">on </w:t>
      </w:r>
      <w:r w:rsidRPr="008D6C3E">
        <w:rPr>
          <w:rFonts w:cstheme="minorHAnsi"/>
          <w:sz w:val="20"/>
          <w:szCs w:val="20"/>
        </w:rPr>
        <w:t>continue</w:t>
      </w:r>
      <w:r w:rsidR="00CE6DE6">
        <w:rPr>
          <w:rFonts w:cstheme="minorHAnsi"/>
          <w:sz w:val="20"/>
          <w:szCs w:val="20"/>
        </w:rPr>
        <w:t>d</w:t>
      </w:r>
      <w:r w:rsidRPr="008D6C3E">
        <w:rPr>
          <w:rFonts w:cstheme="minorHAnsi"/>
          <w:sz w:val="20"/>
          <w:szCs w:val="20"/>
        </w:rPr>
        <w:t xml:space="preserve"> surveillance and advocacy for uninterrupted water systems functionality, </w:t>
      </w:r>
      <w:r w:rsidR="00CE6DE6">
        <w:rPr>
          <w:rFonts w:cstheme="minorHAnsi"/>
          <w:sz w:val="20"/>
          <w:szCs w:val="20"/>
        </w:rPr>
        <w:t xml:space="preserve">and </w:t>
      </w:r>
      <w:r w:rsidRPr="008D6C3E">
        <w:rPr>
          <w:rFonts w:cstheme="minorHAnsi"/>
          <w:sz w:val="20"/>
          <w:szCs w:val="20"/>
        </w:rPr>
        <w:t>maintain</w:t>
      </w:r>
      <w:r w:rsidR="00CE6DE6">
        <w:rPr>
          <w:rFonts w:cstheme="minorHAnsi"/>
          <w:sz w:val="20"/>
          <w:szCs w:val="20"/>
        </w:rPr>
        <w:t>ing</w:t>
      </w:r>
      <w:r w:rsidRPr="008D6C3E">
        <w:rPr>
          <w:rFonts w:cstheme="minorHAnsi"/>
          <w:sz w:val="20"/>
          <w:szCs w:val="20"/>
        </w:rPr>
        <w:t xml:space="preserve"> emergency preparedness and support alternative water supply options to the population affected by deficient or disrupted water supply systems, like </w:t>
      </w:r>
      <w:proofErr w:type="spellStart"/>
      <w:r w:rsidRPr="008D6C3E">
        <w:rPr>
          <w:rFonts w:cstheme="minorHAnsi"/>
          <w:sz w:val="20"/>
          <w:szCs w:val="20"/>
        </w:rPr>
        <w:t>Alouk</w:t>
      </w:r>
      <w:proofErr w:type="spellEnd"/>
      <w:r w:rsidRPr="008D6C3E">
        <w:rPr>
          <w:rFonts w:cstheme="minorHAnsi"/>
          <w:sz w:val="20"/>
          <w:szCs w:val="20"/>
        </w:rPr>
        <w:t xml:space="preserve"> Water Station.</w:t>
      </w:r>
    </w:p>
    <w:p w:rsidRPr="008D6C3E" w:rsidR="00D13BB6" w:rsidP="00EA1163" w:rsidRDefault="00D13BB6" w14:paraId="7B18786B" w14:textId="4EA9C71C">
      <w:pPr>
        <w:pStyle w:val="ListParagraph"/>
        <w:numPr>
          <w:ilvl w:val="0"/>
          <w:numId w:val="45"/>
        </w:numPr>
        <w:spacing w:after="160"/>
        <w:contextualSpacing/>
        <w:jc w:val="both"/>
        <w:rPr>
          <w:rFonts w:cstheme="minorHAnsi"/>
          <w:sz w:val="20"/>
          <w:szCs w:val="20"/>
        </w:rPr>
      </w:pPr>
      <w:r w:rsidRPr="008D6C3E">
        <w:rPr>
          <w:rFonts w:cstheme="minorHAnsi"/>
          <w:sz w:val="20"/>
          <w:szCs w:val="20"/>
        </w:rPr>
        <w:t xml:space="preserve">In both rural and urban communities, </w:t>
      </w:r>
      <w:r w:rsidR="00CE6DE6">
        <w:rPr>
          <w:rFonts w:cstheme="minorHAnsi"/>
          <w:sz w:val="20"/>
          <w:szCs w:val="20"/>
        </w:rPr>
        <w:t>continuing</w:t>
      </w:r>
      <w:r w:rsidRPr="008D6C3E">
        <w:rPr>
          <w:rFonts w:cstheme="minorHAnsi"/>
          <w:sz w:val="20"/>
          <w:szCs w:val="20"/>
        </w:rPr>
        <w:t xml:space="preserve"> light, but durable rehabilitation of water and sanitation infrastructure, including solid waste management, as public WASH systems are the most economically viable and equitable way to provide services at scale. Light rehabilitation of WASH systems must be combined with support to operation and maintenance, including electricity power systems, and capacity building of technical staff. Given challenges with electricity network functionality and as a contribution to a greener climate, the sector will prioritize the use of renewable energy wherever feasible.</w:t>
      </w:r>
    </w:p>
    <w:p w:rsidRPr="008D6C3E" w:rsidR="00D13BB6" w:rsidP="00EA1163" w:rsidRDefault="00D13BB6" w14:paraId="74D0A052" w14:textId="2983A9EC">
      <w:pPr>
        <w:pStyle w:val="ListParagraph"/>
        <w:numPr>
          <w:ilvl w:val="0"/>
          <w:numId w:val="45"/>
        </w:numPr>
        <w:spacing w:after="160"/>
        <w:contextualSpacing/>
        <w:jc w:val="both"/>
        <w:rPr>
          <w:rFonts w:cstheme="minorHAnsi"/>
          <w:sz w:val="20"/>
          <w:szCs w:val="20"/>
        </w:rPr>
      </w:pPr>
      <w:r w:rsidRPr="008D6C3E">
        <w:rPr>
          <w:rFonts w:cstheme="minorHAnsi"/>
          <w:sz w:val="20"/>
          <w:szCs w:val="20"/>
        </w:rPr>
        <w:t>Prioritize contingency planning and prepositioning of supplies for NWS in case of non-renewal of UNSC Resolution 2533.</w:t>
      </w:r>
    </w:p>
    <w:p w:rsidRPr="008D6C3E" w:rsidR="00D13BB6" w:rsidP="00EA1163" w:rsidRDefault="00D13BB6" w14:paraId="02A368F2" w14:textId="77777777">
      <w:pPr>
        <w:pStyle w:val="ListParagraph"/>
        <w:numPr>
          <w:ilvl w:val="0"/>
          <w:numId w:val="45"/>
        </w:numPr>
        <w:spacing w:after="160"/>
        <w:contextualSpacing/>
        <w:jc w:val="both"/>
        <w:rPr>
          <w:rFonts w:cstheme="minorHAnsi"/>
          <w:sz w:val="20"/>
          <w:szCs w:val="20"/>
        </w:rPr>
      </w:pPr>
      <w:r w:rsidRPr="008D6C3E">
        <w:rPr>
          <w:rFonts w:cstheme="minorHAnsi"/>
          <w:sz w:val="20"/>
          <w:szCs w:val="20"/>
        </w:rPr>
        <w:t xml:space="preserve">Due to imposed coercive measures, the entire Syrian population relies on the humanitarian community for the provision of chemical treatments for drinking water. </w:t>
      </w:r>
    </w:p>
    <w:p w:rsidRPr="008D6C3E" w:rsidR="00D13BB6" w:rsidP="00EA1163" w:rsidRDefault="00D13BB6" w14:paraId="51FDC8D4" w14:textId="77777777">
      <w:pPr>
        <w:pStyle w:val="ListParagraph"/>
        <w:numPr>
          <w:ilvl w:val="0"/>
          <w:numId w:val="45"/>
        </w:numPr>
        <w:spacing w:after="160"/>
        <w:contextualSpacing/>
        <w:jc w:val="both"/>
        <w:rPr>
          <w:rFonts w:cstheme="minorHAnsi"/>
          <w:sz w:val="20"/>
          <w:szCs w:val="20"/>
        </w:rPr>
      </w:pPr>
      <w:r w:rsidRPr="008D6C3E">
        <w:rPr>
          <w:rFonts w:cstheme="minorHAnsi"/>
          <w:sz w:val="20"/>
          <w:szCs w:val="20"/>
        </w:rPr>
        <w:t>With the anticipation of continued community transmission of COVID-19, especially given low adherence to preventive measures in some areas, mainstreaming COVID-19 response throughout all regular WASH activities is crucial to mitigate risks.</w:t>
      </w:r>
    </w:p>
    <w:p w:rsidRPr="008D6C3E" w:rsidR="00D13BB6" w:rsidP="00EA1163" w:rsidRDefault="004C745F" w14:paraId="100E60B6" w14:textId="5B10AE5A">
      <w:pPr>
        <w:pStyle w:val="ListParagraph"/>
        <w:numPr>
          <w:ilvl w:val="0"/>
          <w:numId w:val="45"/>
        </w:numPr>
        <w:spacing w:after="160"/>
        <w:contextualSpacing/>
        <w:jc w:val="both"/>
        <w:rPr>
          <w:rFonts w:cstheme="minorHAnsi"/>
          <w:sz w:val="20"/>
          <w:szCs w:val="20"/>
        </w:rPr>
      </w:pPr>
      <w:r>
        <w:rPr>
          <w:rFonts w:cstheme="minorHAnsi"/>
          <w:sz w:val="20"/>
          <w:szCs w:val="20"/>
        </w:rPr>
        <w:t>The e</w:t>
      </w:r>
      <w:r w:rsidRPr="008D6C3E">
        <w:rPr>
          <w:rFonts w:cstheme="minorHAnsi"/>
          <w:sz w:val="20"/>
          <w:szCs w:val="20"/>
        </w:rPr>
        <w:t>conomic</w:t>
      </w:r>
      <w:r w:rsidRPr="008D6C3E" w:rsidR="00D13BB6">
        <w:rPr>
          <w:rFonts w:cstheme="minorHAnsi"/>
          <w:sz w:val="20"/>
          <w:szCs w:val="20"/>
        </w:rPr>
        <w:t xml:space="preserve"> crisis continues to erode households’ purchasing power, notably on WASH services, supplies and consumables. Reported copying mechanisms highly undermine efforts to curb the transmission of COVID-19. The most economically underprivileged households and communities will </w:t>
      </w:r>
      <w:r>
        <w:rPr>
          <w:rFonts w:cstheme="minorHAnsi"/>
          <w:sz w:val="20"/>
          <w:szCs w:val="20"/>
        </w:rPr>
        <w:t>require support</w:t>
      </w:r>
      <w:r w:rsidRPr="008D6C3E" w:rsidR="00D13BB6">
        <w:rPr>
          <w:rFonts w:cstheme="minorHAnsi"/>
          <w:sz w:val="20"/>
          <w:szCs w:val="20"/>
        </w:rPr>
        <w:t xml:space="preserve"> through (multi-)sectoral assistance.</w:t>
      </w:r>
    </w:p>
    <w:p w:rsidRPr="008D6C3E" w:rsidR="00D13BB6" w:rsidP="00EA1163" w:rsidRDefault="00D13BB6" w14:paraId="4B5CB478" w14:textId="191053E9">
      <w:pPr>
        <w:pStyle w:val="ListParagraph"/>
        <w:numPr>
          <w:ilvl w:val="0"/>
          <w:numId w:val="45"/>
        </w:numPr>
        <w:spacing w:after="160"/>
        <w:contextualSpacing/>
        <w:jc w:val="both"/>
        <w:rPr>
          <w:rFonts w:cstheme="minorHAnsi"/>
          <w:sz w:val="20"/>
          <w:szCs w:val="20"/>
        </w:rPr>
      </w:pPr>
      <w:r w:rsidRPr="008D6C3E">
        <w:rPr>
          <w:rFonts w:cstheme="minorHAnsi"/>
          <w:sz w:val="20"/>
          <w:szCs w:val="20"/>
        </w:rPr>
        <w:t>High level advocacy &amp; engagement with donors on specific and sensitive</w:t>
      </w:r>
      <w:r w:rsidR="004C745F">
        <w:rPr>
          <w:rFonts w:cstheme="minorHAnsi"/>
          <w:sz w:val="20"/>
          <w:szCs w:val="20"/>
        </w:rPr>
        <w:t>s</w:t>
      </w:r>
      <w:r w:rsidRPr="008D6C3E">
        <w:rPr>
          <w:rFonts w:cstheme="minorHAnsi"/>
          <w:sz w:val="20"/>
          <w:szCs w:val="20"/>
        </w:rPr>
        <w:t xml:space="preserve"> issues (coercive measures on the energy sector (including fuel and lubricants, spares etc.); </w:t>
      </w:r>
      <w:proofErr w:type="spellStart"/>
      <w:r w:rsidRPr="008D6C3E">
        <w:rPr>
          <w:rFonts w:cstheme="minorHAnsi"/>
          <w:sz w:val="20"/>
          <w:szCs w:val="20"/>
        </w:rPr>
        <w:t>Alouk</w:t>
      </w:r>
      <w:proofErr w:type="spellEnd"/>
      <w:r w:rsidRPr="008D6C3E">
        <w:rPr>
          <w:rFonts w:cstheme="minorHAnsi"/>
          <w:sz w:val="20"/>
          <w:szCs w:val="20"/>
        </w:rPr>
        <w:t xml:space="preserve"> water station; Euphrates River; resilient programming focusing on critical humanitarian infrastructure)</w:t>
      </w:r>
    </w:p>
    <w:p w:rsidR="00CE6DE6" w:rsidP="00CE6DE6" w:rsidRDefault="00CE6DE6" w14:paraId="7CDB5198" w14:textId="77777777">
      <w:pPr>
        <w:pStyle w:val="ListParagraph"/>
        <w:spacing w:after="160"/>
        <w:contextualSpacing/>
        <w:jc w:val="both"/>
        <w:rPr>
          <w:b/>
          <w:bCs/>
          <w:sz w:val="20"/>
          <w:szCs w:val="20"/>
        </w:rPr>
      </w:pPr>
    </w:p>
    <w:p w:rsidRPr="008D6C3E" w:rsidR="00D13BB6" w:rsidP="00EA1163" w:rsidRDefault="00D13BB6" w14:paraId="3E844738" w14:textId="77777777">
      <w:pPr>
        <w:pStyle w:val="ListParagraph"/>
        <w:numPr>
          <w:ilvl w:val="0"/>
          <w:numId w:val="48"/>
        </w:numPr>
        <w:spacing w:after="160"/>
        <w:contextualSpacing/>
        <w:jc w:val="both"/>
        <w:rPr>
          <w:b/>
          <w:bCs/>
          <w:sz w:val="20"/>
          <w:szCs w:val="20"/>
        </w:rPr>
      </w:pPr>
      <w:r w:rsidRPr="008D6C3E">
        <w:rPr>
          <w:b/>
          <w:bCs/>
          <w:sz w:val="20"/>
          <w:szCs w:val="20"/>
        </w:rPr>
        <w:t xml:space="preserve">Key messages to donors as at June 2021 (which the HCs could help amplify): </w:t>
      </w:r>
    </w:p>
    <w:p w:rsidRPr="008D6C3E" w:rsidR="00D13BB6" w:rsidP="00EA1163" w:rsidRDefault="00D13BB6" w14:paraId="5179B3E8" w14:textId="77777777">
      <w:pPr>
        <w:pStyle w:val="ListParagraph"/>
        <w:numPr>
          <w:ilvl w:val="0"/>
          <w:numId w:val="45"/>
        </w:numPr>
        <w:spacing w:after="160"/>
        <w:contextualSpacing/>
        <w:jc w:val="both"/>
        <w:rPr>
          <w:rFonts w:cstheme="minorHAnsi"/>
          <w:sz w:val="20"/>
          <w:szCs w:val="20"/>
        </w:rPr>
      </w:pPr>
      <w:r w:rsidRPr="008D6C3E">
        <w:rPr>
          <w:rFonts w:cstheme="minorHAnsi"/>
          <w:sz w:val="20"/>
          <w:szCs w:val="20"/>
        </w:rPr>
        <w:t xml:space="preserve">Ongoing regional drought, depletion of water aquifers and extremely low water flow in the rivers will further worsen livelihoods and income-earning opportunities and may trigger another wave of misery and migration. Urgent actions at national and regional levels are needed to mitigate the consequences, including high-level advocacy for fair access to water and dedicated timely funds for emergency water supply as well as for look for mid to longer-term alternative water supply modalities and their implementation whenever possible. </w:t>
      </w:r>
    </w:p>
    <w:p w:rsidRPr="008D6C3E" w:rsidR="00D13BB6" w:rsidP="00EA1163" w:rsidRDefault="00D13BB6" w14:paraId="44F7B827" w14:textId="77777777">
      <w:pPr>
        <w:pStyle w:val="ListParagraph"/>
        <w:numPr>
          <w:ilvl w:val="0"/>
          <w:numId w:val="45"/>
        </w:numPr>
        <w:spacing w:after="160"/>
        <w:contextualSpacing/>
        <w:jc w:val="both"/>
        <w:rPr>
          <w:rFonts w:cstheme="minorHAnsi"/>
          <w:sz w:val="20"/>
          <w:szCs w:val="20"/>
        </w:rPr>
      </w:pPr>
      <w:r w:rsidRPr="008D6C3E">
        <w:rPr>
          <w:rFonts w:cstheme="minorHAnsi"/>
          <w:sz w:val="20"/>
          <w:szCs w:val="20"/>
        </w:rPr>
        <w:t>Maintaining non-interrupted water supply from Al-</w:t>
      </w:r>
      <w:proofErr w:type="spellStart"/>
      <w:r w:rsidRPr="008D6C3E">
        <w:rPr>
          <w:rFonts w:cstheme="minorHAnsi"/>
          <w:sz w:val="20"/>
          <w:szCs w:val="20"/>
        </w:rPr>
        <w:t>Alouk</w:t>
      </w:r>
      <w:proofErr w:type="spellEnd"/>
      <w:r w:rsidRPr="008D6C3E">
        <w:rPr>
          <w:rFonts w:cstheme="minorHAnsi"/>
          <w:sz w:val="20"/>
          <w:szCs w:val="20"/>
        </w:rPr>
        <w:t xml:space="preserve"> water station, the main water supply source for over 460,000 people living in Al-</w:t>
      </w:r>
      <w:proofErr w:type="spellStart"/>
      <w:r w:rsidRPr="008D6C3E">
        <w:rPr>
          <w:rFonts w:cstheme="minorHAnsi"/>
          <w:sz w:val="20"/>
          <w:szCs w:val="20"/>
        </w:rPr>
        <w:t>Hasakeh</w:t>
      </w:r>
      <w:proofErr w:type="spellEnd"/>
      <w:r w:rsidRPr="008D6C3E">
        <w:rPr>
          <w:rFonts w:cstheme="minorHAnsi"/>
          <w:sz w:val="20"/>
          <w:szCs w:val="20"/>
        </w:rPr>
        <w:t xml:space="preserve"> city and surroundings and </w:t>
      </w:r>
      <w:proofErr w:type="gramStart"/>
      <w:r w:rsidRPr="008D6C3E">
        <w:rPr>
          <w:rFonts w:cstheme="minorHAnsi"/>
          <w:sz w:val="20"/>
          <w:szCs w:val="20"/>
        </w:rPr>
        <w:t>a number of</w:t>
      </w:r>
      <w:proofErr w:type="gramEnd"/>
      <w:r w:rsidRPr="008D6C3E">
        <w:rPr>
          <w:rFonts w:cstheme="minorHAnsi"/>
          <w:sz w:val="20"/>
          <w:szCs w:val="20"/>
        </w:rPr>
        <w:t xml:space="preserve"> IDP camps and sites including Al </w:t>
      </w:r>
      <w:proofErr w:type="spellStart"/>
      <w:r w:rsidRPr="008D6C3E">
        <w:rPr>
          <w:rFonts w:cstheme="minorHAnsi"/>
          <w:sz w:val="20"/>
          <w:szCs w:val="20"/>
        </w:rPr>
        <w:t>Hol</w:t>
      </w:r>
      <w:proofErr w:type="spellEnd"/>
      <w:r w:rsidRPr="008D6C3E">
        <w:rPr>
          <w:rFonts w:cstheme="minorHAnsi"/>
          <w:sz w:val="20"/>
          <w:szCs w:val="20"/>
        </w:rPr>
        <w:t xml:space="preserve"> and </w:t>
      </w:r>
      <w:proofErr w:type="spellStart"/>
      <w:r w:rsidRPr="008D6C3E">
        <w:rPr>
          <w:rFonts w:cstheme="minorHAnsi"/>
          <w:sz w:val="20"/>
          <w:szCs w:val="20"/>
        </w:rPr>
        <w:t>Areesha</w:t>
      </w:r>
      <w:proofErr w:type="spellEnd"/>
      <w:r w:rsidRPr="008D6C3E">
        <w:rPr>
          <w:rFonts w:cstheme="minorHAnsi"/>
          <w:sz w:val="20"/>
          <w:szCs w:val="20"/>
        </w:rPr>
        <w:t xml:space="preserve">, is an unconditional must. </w:t>
      </w:r>
    </w:p>
    <w:p w:rsidRPr="008D6C3E" w:rsidR="00D13BB6" w:rsidP="00EA1163" w:rsidRDefault="00D13BB6" w14:paraId="6E608715" w14:textId="77777777">
      <w:pPr>
        <w:pStyle w:val="ListParagraph"/>
        <w:numPr>
          <w:ilvl w:val="0"/>
          <w:numId w:val="45"/>
        </w:numPr>
        <w:spacing w:after="160"/>
        <w:contextualSpacing/>
        <w:jc w:val="both"/>
        <w:rPr>
          <w:rFonts w:cstheme="minorHAnsi"/>
          <w:sz w:val="20"/>
          <w:szCs w:val="20"/>
        </w:rPr>
      </w:pPr>
      <w:r w:rsidRPr="008D6C3E">
        <w:rPr>
          <w:rFonts w:cstheme="minorHAnsi"/>
          <w:sz w:val="20"/>
          <w:szCs w:val="20"/>
        </w:rPr>
        <w:t>There is an increased need for prioritization and investments in sanitation systems, given that 70% of sewage is untreated and poorly disposed of e.g. in the Euphrates River, with implication for both public and environmental health.</w:t>
      </w:r>
    </w:p>
    <w:p w:rsidRPr="008D6C3E" w:rsidR="00D13BB6" w:rsidP="00EA1163" w:rsidRDefault="00D13BB6" w14:paraId="082B2572" w14:textId="77777777">
      <w:pPr>
        <w:pStyle w:val="ListParagraph"/>
        <w:numPr>
          <w:ilvl w:val="0"/>
          <w:numId w:val="45"/>
        </w:numPr>
        <w:spacing w:after="160"/>
        <w:contextualSpacing/>
        <w:jc w:val="both"/>
        <w:rPr>
          <w:rFonts w:cstheme="minorHAnsi"/>
          <w:sz w:val="20"/>
          <w:szCs w:val="20"/>
        </w:rPr>
      </w:pPr>
      <w:r w:rsidRPr="008D6C3E">
        <w:rPr>
          <w:rFonts w:cstheme="minorHAnsi"/>
          <w:sz w:val="20"/>
          <w:szCs w:val="20"/>
        </w:rPr>
        <w:t>Timely funding to respond to both protracted and emerging humanitarian needs, including COVID-19 as the WASH sector plays a key role in infection prevention and control and equally serves as a catalyst for attainment of health indicators.</w:t>
      </w:r>
    </w:p>
    <w:p w:rsidRPr="008D6C3E" w:rsidR="00D13BB6" w:rsidP="00D13BB6" w:rsidRDefault="00D13BB6" w14:paraId="7A4840C8" w14:textId="77777777">
      <w:pPr>
        <w:pStyle w:val="ListParagraph"/>
        <w:rPr>
          <w:rFonts w:cstheme="minorHAnsi"/>
          <w:b/>
          <w:bCs/>
          <w:sz w:val="20"/>
          <w:szCs w:val="20"/>
        </w:rPr>
      </w:pPr>
    </w:p>
    <w:p w:rsidRPr="00C016CD" w:rsidR="00D13BB6" w:rsidP="00EA1163" w:rsidRDefault="00D13BB6" w14:paraId="5907A63B" w14:textId="61E4338A">
      <w:pPr>
        <w:spacing w:line="240" w:lineRule="auto"/>
        <w:contextualSpacing/>
        <w:rPr>
          <w:rFonts w:cstheme="minorHAnsi"/>
          <w:b/>
          <w:sz w:val="20"/>
          <w:szCs w:val="20"/>
        </w:rPr>
      </w:pPr>
      <w:r w:rsidRPr="00C016CD">
        <w:rPr>
          <w:rFonts w:cstheme="minorHAnsi"/>
          <w:b/>
          <w:bCs/>
          <w:sz w:val="20"/>
          <w:szCs w:val="20"/>
        </w:rPr>
        <w:t xml:space="preserve">Top appealing organizations in the sector: </w:t>
      </w:r>
    </w:p>
    <w:p w:rsidRPr="00F12FF9" w:rsidR="00D13BB6" w:rsidP="00EA1163" w:rsidRDefault="00D13BB6" w14:paraId="323945B1" w14:textId="43E2B653">
      <w:pPr>
        <w:spacing w:line="240" w:lineRule="auto"/>
        <w:rPr>
          <w:rFonts w:cstheme="minorHAnsi"/>
          <w:sz w:val="16"/>
          <w:szCs w:val="16"/>
        </w:rPr>
      </w:pPr>
    </w:p>
    <w:tbl>
      <w:tblPr>
        <w:tblW w:w="10478" w:type="dxa"/>
        <w:tblLook w:val="04A0" w:firstRow="1" w:lastRow="0" w:firstColumn="1" w:lastColumn="0" w:noHBand="0" w:noVBand="1"/>
      </w:tblPr>
      <w:tblGrid>
        <w:gridCol w:w="2555"/>
        <w:gridCol w:w="1231"/>
        <w:gridCol w:w="1090"/>
        <w:gridCol w:w="1231"/>
        <w:gridCol w:w="888"/>
        <w:gridCol w:w="3483"/>
      </w:tblGrid>
      <w:tr w:rsidRPr="00B3490E" w:rsidR="00B3490E" w:rsidTr="008451F6" w14:paraId="1838469E" w14:textId="77777777">
        <w:trPr>
          <w:trHeight w:val="426"/>
        </w:trPr>
        <w:tc>
          <w:tcPr>
            <w:tcW w:w="2555" w:type="dxa"/>
            <w:tcBorders>
              <w:top w:val="single" w:color="4472C4" w:sz="4" w:space="0"/>
              <w:left w:val="single" w:color="4472C4" w:sz="4" w:space="0"/>
              <w:bottom w:val="nil"/>
              <w:right w:val="nil"/>
            </w:tcBorders>
            <w:shd w:val="clear" w:color="4472C4" w:fill="4472C4"/>
            <w:vAlign w:val="center"/>
            <w:hideMark/>
          </w:tcPr>
          <w:p w:rsidRPr="00B3490E" w:rsidR="00B3490E" w:rsidP="00B3490E" w:rsidRDefault="00B3490E" w14:paraId="17350CBA" w14:textId="77777777">
            <w:pPr>
              <w:spacing w:after="0" w:line="240" w:lineRule="auto"/>
              <w:rPr>
                <w:rFonts w:ascii="Calibri" w:hAnsi="Calibri" w:eastAsia="Times New Roman" w:cs="Times New Roman"/>
                <w:b/>
                <w:bCs/>
                <w:color w:val="FFFFFF"/>
                <w:sz w:val="18"/>
                <w:szCs w:val="18"/>
                <w:lang w:eastAsia="zh-CN"/>
              </w:rPr>
            </w:pPr>
            <w:r w:rsidRPr="00B3490E">
              <w:rPr>
                <w:rFonts w:ascii="Calibri" w:hAnsi="Calibri" w:eastAsia="Times New Roman" w:cs="Times New Roman"/>
                <w:b/>
                <w:bCs/>
                <w:color w:val="FFFFFF"/>
                <w:sz w:val="18"/>
                <w:szCs w:val="18"/>
                <w:lang w:eastAsia="zh-CN"/>
              </w:rPr>
              <w:t>Organizations</w:t>
            </w:r>
          </w:p>
        </w:tc>
        <w:tc>
          <w:tcPr>
            <w:tcW w:w="1231" w:type="dxa"/>
            <w:tcBorders>
              <w:top w:val="single" w:color="4472C4" w:sz="4" w:space="0"/>
              <w:left w:val="nil"/>
              <w:bottom w:val="nil"/>
              <w:right w:val="nil"/>
            </w:tcBorders>
            <w:shd w:val="clear" w:color="4472C4" w:fill="4472C4"/>
            <w:vAlign w:val="bottom"/>
            <w:hideMark/>
          </w:tcPr>
          <w:p w:rsidRPr="00B3490E" w:rsidR="00B3490E" w:rsidP="00B3490E" w:rsidRDefault="00B3490E" w14:paraId="69360778" w14:textId="77777777">
            <w:pPr>
              <w:spacing w:after="0" w:line="240" w:lineRule="auto"/>
              <w:jc w:val="right"/>
              <w:rPr>
                <w:rFonts w:ascii="Calibri" w:hAnsi="Calibri" w:eastAsia="Times New Roman" w:cs="Times New Roman"/>
                <w:b/>
                <w:bCs/>
                <w:color w:val="FFFFFF"/>
                <w:sz w:val="18"/>
                <w:szCs w:val="18"/>
                <w:lang w:eastAsia="zh-CN"/>
              </w:rPr>
            </w:pPr>
            <w:r w:rsidRPr="00B3490E">
              <w:rPr>
                <w:rFonts w:ascii="Calibri" w:hAnsi="Calibri" w:eastAsia="Times New Roman" w:cs="Times New Roman"/>
                <w:b/>
                <w:bCs/>
                <w:color w:val="FFFFFF"/>
                <w:sz w:val="18"/>
                <w:szCs w:val="18"/>
                <w:lang w:eastAsia="zh-CN"/>
              </w:rPr>
              <w:t xml:space="preserve"> 2020 requirements US$ </w:t>
            </w:r>
          </w:p>
        </w:tc>
        <w:tc>
          <w:tcPr>
            <w:tcW w:w="1090" w:type="dxa"/>
            <w:tcBorders>
              <w:top w:val="single" w:color="4472C4" w:sz="4" w:space="0"/>
              <w:left w:val="nil"/>
              <w:bottom w:val="nil"/>
              <w:right w:val="nil"/>
            </w:tcBorders>
            <w:shd w:val="clear" w:color="4472C4" w:fill="4472C4"/>
            <w:vAlign w:val="bottom"/>
            <w:hideMark/>
          </w:tcPr>
          <w:p w:rsidRPr="00B3490E" w:rsidR="00B3490E" w:rsidP="00B3490E" w:rsidRDefault="00B3490E" w14:paraId="58C986DF" w14:textId="77777777">
            <w:pPr>
              <w:spacing w:after="0" w:line="240" w:lineRule="auto"/>
              <w:jc w:val="right"/>
              <w:rPr>
                <w:rFonts w:ascii="Calibri" w:hAnsi="Calibri" w:eastAsia="Times New Roman" w:cs="Times New Roman"/>
                <w:b/>
                <w:bCs/>
                <w:color w:val="FFFFFF"/>
                <w:sz w:val="18"/>
                <w:szCs w:val="18"/>
                <w:lang w:eastAsia="zh-CN"/>
              </w:rPr>
            </w:pPr>
            <w:r w:rsidRPr="00B3490E">
              <w:rPr>
                <w:rFonts w:ascii="Calibri" w:hAnsi="Calibri" w:eastAsia="Times New Roman" w:cs="Times New Roman"/>
                <w:b/>
                <w:bCs/>
                <w:color w:val="FFFFFF"/>
                <w:sz w:val="18"/>
                <w:szCs w:val="18"/>
                <w:lang w:eastAsia="zh-CN"/>
              </w:rPr>
              <w:t xml:space="preserve">2020 </w:t>
            </w:r>
            <w:r w:rsidRPr="00B3490E">
              <w:rPr>
                <w:rFonts w:ascii="Calibri" w:hAnsi="Calibri" w:eastAsia="Times New Roman" w:cs="Times New Roman"/>
                <w:b/>
                <w:bCs/>
                <w:color w:val="FFFFFF"/>
                <w:sz w:val="18"/>
                <w:szCs w:val="18"/>
                <w:lang w:eastAsia="zh-CN"/>
              </w:rPr>
              <w:br/>
            </w:r>
            <w:r w:rsidRPr="00B3490E">
              <w:rPr>
                <w:rFonts w:ascii="Calibri" w:hAnsi="Calibri" w:eastAsia="Times New Roman" w:cs="Times New Roman"/>
                <w:b/>
                <w:bCs/>
                <w:color w:val="FFFFFF"/>
                <w:sz w:val="18"/>
                <w:szCs w:val="18"/>
                <w:lang w:eastAsia="zh-CN"/>
              </w:rPr>
              <w:t>Coverage %</w:t>
            </w:r>
          </w:p>
        </w:tc>
        <w:tc>
          <w:tcPr>
            <w:tcW w:w="1231" w:type="dxa"/>
            <w:tcBorders>
              <w:top w:val="single" w:color="4472C4" w:sz="4" w:space="0"/>
              <w:left w:val="nil"/>
              <w:bottom w:val="nil"/>
              <w:right w:val="nil"/>
            </w:tcBorders>
            <w:shd w:val="clear" w:color="4472C4" w:fill="4472C4"/>
            <w:vAlign w:val="bottom"/>
            <w:hideMark/>
          </w:tcPr>
          <w:p w:rsidRPr="00B3490E" w:rsidR="00B3490E" w:rsidP="00B3490E" w:rsidRDefault="00B3490E" w14:paraId="4647F1A7" w14:textId="77777777">
            <w:pPr>
              <w:spacing w:after="0" w:line="240" w:lineRule="auto"/>
              <w:jc w:val="right"/>
              <w:rPr>
                <w:rFonts w:ascii="Calibri" w:hAnsi="Calibri" w:eastAsia="Times New Roman" w:cs="Times New Roman"/>
                <w:b/>
                <w:bCs/>
                <w:color w:val="FFFFFF"/>
                <w:sz w:val="18"/>
                <w:szCs w:val="18"/>
                <w:lang w:eastAsia="zh-CN"/>
              </w:rPr>
            </w:pPr>
            <w:r w:rsidRPr="00B3490E">
              <w:rPr>
                <w:rFonts w:ascii="Calibri" w:hAnsi="Calibri" w:eastAsia="Times New Roman" w:cs="Times New Roman"/>
                <w:b/>
                <w:bCs/>
                <w:color w:val="FFFFFF"/>
                <w:sz w:val="18"/>
                <w:szCs w:val="18"/>
                <w:lang w:eastAsia="zh-CN"/>
              </w:rPr>
              <w:t xml:space="preserve"> 2021 requirements US$ </w:t>
            </w:r>
          </w:p>
        </w:tc>
        <w:tc>
          <w:tcPr>
            <w:tcW w:w="888" w:type="dxa"/>
            <w:tcBorders>
              <w:top w:val="single" w:color="4472C4" w:sz="4" w:space="0"/>
              <w:left w:val="nil"/>
              <w:bottom w:val="nil"/>
              <w:right w:val="nil"/>
            </w:tcBorders>
            <w:shd w:val="clear" w:color="4472C4" w:fill="4472C4"/>
            <w:vAlign w:val="bottom"/>
            <w:hideMark/>
          </w:tcPr>
          <w:p w:rsidRPr="00B3490E" w:rsidR="00B3490E" w:rsidP="00B3490E" w:rsidRDefault="00B3490E" w14:paraId="510E68F0" w14:textId="77777777">
            <w:pPr>
              <w:spacing w:after="0" w:line="240" w:lineRule="auto"/>
              <w:jc w:val="right"/>
              <w:rPr>
                <w:rFonts w:ascii="Calibri" w:hAnsi="Calibri" w:eastAsia="Times New Roman" w:cs="Times New Roman"/>
                <w:b/>
                <w:bCs/>
                <w:color w:val="FFFFFF"/>
                <w:sz w:val="18"/>
                <w:szCs w:val="18"/>
                <w:lang w:eastAsia="zh-CN"/>
              </w:rPr>
            </w:pPr>
            <w:r w:rsidRPr="00B3490E">
              <w:rPr>
                <w:rFonts w:ascii="Calibri" w:hAnsi="Calibri" w:eastAsia="Times New Roman" w:cs="Times New Roman"/>
                <w:b/>
                <w:bCs/>
                <w:color w:val="FFFFFF"/>
                <w:sz w:val="18"/>
                <w:szCs w:val="18"/>
                <w:lang w:eastAsia="zh-CN"/>
              </w:rPr>
              <w:t>% variation to 2020</w:t>
            </w:r>
          </w:p>
        </w:tc>
        <w:tc>
          <w:tcPr>
            <w:tcW w:w="3483" w:type="dxa"/>
            <w:tcBorders>
              <w:top w:val="single" w:color="4472C4" w:sz="4" w:space="0"/>
              <w:left w:val="nil"/>
              <w:bottom w:val="nil"/>
              <w:right w:val="single" w:color="4472C4" w:sz="4" w:space="0"/>
            </w:tcBorders>
            <w:shd w:val="clear" w:color="4472C4" w:fill="4472C4"/>
            <w:vAlign w:val="bottom"/>
            <w:hideMark/>
          </w:tcPr>
          <w:p w:rsidRPr="00B3490E" w:rsidR="00B3490E" w:rsidP="00B3490E" w:rsidRDefault="00B3490E" w14:paraId="30DC8DCA" w14:textId="77777777">
            <w:pPr>
              <w:spacing w:after="0" w:line="240" w:lineRule="auto"/>
              <w:rPr>
                <w:rFonts w:ascii="Calibri" w:hAnsi="Calibri" w:eastAsia="Times New Roman" w:cs="Times New Roman"/>
                <w:b/>
                <w:bCs/>
                <w:color w:val="FFFFFF"/>
                <w:sz w:val="18"/>
                <w:szCs w:val="18"/>
                <w:lang w:eastAsia="zh-CN"/>
              </w:rPr>
            </w:pPr>
            <w:r w:rsidRPr="00B3490E">
              <w:rPr>
                <w:rFonts w:ascii="Calibri" w:hAnsi="Calibri" w:eastAsia="Times New Roman" w:cs="Times New Roman"/>
                <w:b/>
                <w:bCs/>
                <w:color w:val="FFFFFF"/>
                <w:sz w:val="18"/>
                <w:szCs w:val="18"/>
                <w:lang w:eastAsia="zh-CN"/>
              </w:rPr>
              <w:t xml:space="preserve"> Geographic coverage</w:t>
            </w:r>
            <w:r w:rsidRPr="00B3490E">
              <w:rPr>
                <w:rFonts w:ascii="Calibri" w:hAnsi="Calibri" w:eastAsia="Times New Roman" w:cs="Times New Roman"/>
                <w:b/>
                <w:bCs/>
                <w:color w:val="FFFFFF"/>
                <w:sz w:val="18"/>
                <w:szCs w:val="18"/>
                <w:lang w:eastAsia="zh-CN"/>
              </w:rPr>
              <w:br/>
            </w:r>
            <w:r w:rsidRPr="00B3490E">
              <w:rPr>
                <w:rFonts w:ascii="Calibri" w:hAnsi="Calibri" w:eastAsia="Times New Roman" w:cs="Times New Roman"/>
                <w:b/>
                <w:bCs/>
                <w:color w:val="FFFFFF"/>
                <w:sz w:val="18"/>
                <w:szCs w:val="18"/>
                <w:lang w:eastAsia="zh-CN"/>
              </w:rPr>
              <w:t xml:space="preserve">(main governorates) </w:t>
            </w:r>
          </w:p>
        </w:tc>
      </w:tr>
      <w:tr w:rsidRPr="00B3490E" w:rsidR="008451F6" w:rsidTr="008451F6" w14:paraId="0FE82407" w14:textId="77777777">
        <w:trPr>
          <w:trHeight w:val="249"/>
        </w:trPr>
        <w:tc>
          <w:tcPr>
            <w:tcW w:w="2555" w:type="dxa"/>
            <w:tcBorders>
              <w:top w:val="single" w:color="4472C4" w:sz="4" w:space="0"/>
              <w:left w:val="single" w:color="4472C4" w:sz="4" w:space="0"/>
              <w:bottom w:val="nil"/>
              <w:right w:val="nil"/>
            </w:tcBorders>
            <w:shd w:val="clear" w:color="auto" w:fill="auto"/>
            <w:vAlign w:val="center"/>
            <w:hideMark/>
          </w:tcPr>
          <w:p w:rsidRPr="00B3490E" w:rsidR="00B3490E" w:rsidP="00B3490E" w:rsidRDefault="00B3490E" w14:paraId="41F9D2C5"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United Nations Children's Fund</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2817B253"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 xml:space="preserve">                78,710,902 </w:t>
            </w:r>
          </w:p>
        </w:tc>
        <w:tc>
          <w:tcPr>
            <w:tcW w:w="1090" w:type="dxa"/>
            <w:tcBorders>
              <w:top w:val="single" w:color="4472C4" w:sz="4" w:space="0"/>
              <w:left w:val="nil"/>
              <w:bottom w:val="nil"/>
              <w:right w:val="nil"/>
            </w:tcBorders>
            <w:shd w:val="clear" w:color="000000" w:fill="FFF2CC"/>
            <w:noWrap/>
            <w:vAlign w:val="bottom"/>
            <w:hideMark/>
          </w:tcPr>
          <w:p w:rsidRPr="00B3490E" w:rsidR="00B3490E" w:rsidP="00B3490E" w:rsidRDefault="00B3490E" w14:paraId="3020DD11"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40%</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77CD9084" w14:textId="77777777">
            <w:pPr>
              <w:spacing w:after="0" w:line="240" w:lineRule="auto"/>
              <w:jc w:val="right"/>
              <w:rPr>
                <w:rFonts w:ascii="Calibri" w:hAnsi="Calibri" w:eastAsia="Times New Roman" w:cs="Times New Roman"/>
                <w:b/>
                <w:bCs/>
                <w:color w:val="000000"/>
                <w:sz w:val="18"/>
                <w:szCs w:val="18"/>
                <w:lang w:eastAsia="zh-CN"/>
              </w:rPr>
            </w:pPr>
            <w:r w:rsidRPr="00B3490E">
              <w:rPr>
                <w:rFonts w:ascii="Calibri" w:hAnsi="Calibri" w:eastAsia="Times New Roman" w:cs="Times New Roman"/>
                <w:b/>
                <w:bCs/>
                <w:color w:val="000000"/>
                <w:sz w:val="18"/>
                <w:szCs w:val="18"/>
                <w:lang w:eastAsia="zh-CN"/>
              </w:rPr>
              <w:t xml:space="preserve">                89,862,782 </w:t>
            </w:r>
          </w:p>
        </w:tc>
        <w:tc>
          <w:tcPr>
            <w:tcW w:w="888" w:type="dxa"/>
            <w:tcBorders>
              <w:top w:val="single" w:color="4472C4" w:sz="4" w:space="0"/>
              <w:left w:val="nil"/>
              <w:bottom w:val="nil"/>
              <w:right w:val="nil"/>
            </w:tcBorders>
            <w:shd w:val="clear" w:color="000000" w:fill="C6E0B4"/>
            <w:noWrap/>
            <w:vAlign w:val="bottom"/>
            <w:hideMark/>
          </w:tcPr>
          <w:p w:rsidRPr="00B3490E" w:rsidR="00B3490E" w:rsidP="00B3490E" w:rsidRDefault="00B3490E" w14:paraId="242E12C3"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14%</w:t>
            </w:r>
          </w:p>
        </w:tc>
        <w:tc>
          <w:tcPr>
            <w:tcW w:w="3483" w:type="dxa"/>
            <w:tcBorders>
              <w:top w:val="single" w:color="4472C4" w:sz="4" w:space="0"/>
              <w:left w:val="nil"/>
              <w:bottom w:val="nil"/>
              <w:right w:val="single" w:color="4472C4" w:sz="4" w:space="0"/>
            </w:tcBorders>
            <w:shd w:val="clear" w:color="auto" w:fill="auto"/>
            <w:vAlign w:val="bottom"/>
            <w:hideMark/>
          </w:tcPr>
          <w:p w:rsidRPr="00B3490E" w:rsidR="00B3490E" w:rsidP="00B3490E" w:rsidRDefault="00B3490E" w14:paraId="16929198"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All 14 governorates</w:t>
            </w:r>
          </w:p>
        </w:tc>
      </w:tr>
      <w:tr w:rsidRPr="00B3490E" w:rsidR="008451F6" w:rsidTr="008451F6" w14:paraId="2F49A696" w14:textId="77777777">
        <w:trPr>
          <w:trHeight w:val="415"/>
        </w:trPr>
        <w:tc>
          <w:tcPr>
            <w:tcW w:w="2555" w:type="dxa"/>
            <w:tcBorders>
              <w:top w:val="single" w:color="4472C4" w:sz="4" w:space="0"/>
              <w:left w:val="single" w:color="4472C4" w:sz="4" w:space="0"/>
              <w:bottom w:val="nil"/>
              <w:right w:val="nil"/>
            </w:tcBorders>
            <w:shd w:val="clear" w:color="auto" w:fill="auto"/>
            <w:vAlign w:val="center"/>
            <w:hideMark/>
          </w:tcPr>
          <w:p w:rsidRPr="00B3490E" w:rsidR="00B3490E" w:rsidP="00B3490E" w:rsidRDefault="00B3490E" w14:paraId="083C8FAF"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Agency for Technical Cooperation and Development</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1660F209"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 xml:space="preserve">                12,458,052 </w:t>
            </w:r>
          </w:p>
        </w:tc>
        <w:tc>
          <w:tcPr>
            <w:tcW w:w="1090" w:type="dxa"/>
            <w:tcBorders>
              <w:top w:val="single" w:color="4472C4" w:sz="4" w:space="0"/>
              <w:left w:val="nil"/>
              <w:bottom w:val="nil"/>
              <w:right w:val="nil"/>
            </w:tcBorders>
            <w:shd w:val="clear" w:color="000000" w:fill="FFCCCC"/>
            <w:noWrap/>
            <w:vAlign w:val="bottom"/>
            <w:hideMark/>
          </w:tcPr>
          <w:p w:rsidRPr="00B3490E" w:rsidR="00B3490E" w:rsidP="00B3490E" w:rsidRDefault="00B3490E" w14:paraId="2032055C"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0%</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3A0455D7" w14:textId="77777777">
            <w:pPr>
              <w:spacing w:after="0" w:line="240" w:lineRule="auto"/>
              <w:jc w:val="right"/>
              <w:rPr>
                <w:rFonts w:ascii="Calibri" w:hAnsi="Calibri" w:eastAsia="Times New Roman" w:cs="Times New Roman"/>
                <w:b/>
                <w:bCs/>
                <w:color w:val="000000"/>
                <w:sz w:val="18"/>
                <w:szCs w:val="18"/>
                <w:lang w:eastAsia="zh-CN"/>
              </w:rPr>
            </w:pPr>
            <w:r w:rsidRPr="00B3490E">
              <w:rPr>
                <w:rFonts w:ascii="Calibri" w:hAnsi="Calibri" w:eastAsia="Times New Roman" w:cs="Times New Roman"/>
                <w:b/>
                <w:bCs/>
                <w:color w:val="000000"/>
                <w:sz w:val="18"/>
                <w:szCs w:val="18"/>
                <w:lang w:eastAsia="zh-CN"/>
              </w:rPr>
              <w:t xml:space="preserve">                15,292,167 </w:t>
            </w:r>
          </w:p>
        </w:tc>
        <w:tc>
          <w:tcPr>
            <w:tcW w:w="888" w:type="dxa"/>
            <w:tcBorders>
              <w:top w:val="single" w:color="4472C4" w:sz="4" w:space="0"/>
              <w:left w:val="nil"/>
              <w:bottom w:val="nil"/>
              <w:right w:val="nil"/>
            </w:tcBorders>
            <w:shd w:val="clear" w:color="000000" w:fill="C6E0B4"/>
            <w:noWrap/>
            <w:vAlign w:val="bottom"/>
            <w:hideMark/>
          </w:tcPr>
          <w:p w:rsidRPr="00B3490E" w:rsidR="00B3490E" w:rsidP="00B3490E" w:rsidRDefault="00B3490E" w14:paraId="535DF484"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23%</w:t>
            </w:r>
          </w:p>
        </w:tc>
        <w:tc>
          <w:tcPr>
            <w:tcW w:w="3483" w:type="dxa"/>
            <w:tcBorders>
              <w:top w:val="single" w:color="4472C4" w:sz="4" w:space="0"/>
              <w:left w:val="nil"/>
              <w:bottom w:val="nil"/>
              <w:right w:val="single" w:color="4472C4" w:sz="4" w:space="0"/>
            </w:tcBorders>
            <w:shd w:val="clear" w:color="auto" w:fill="auto"/>
            <w:vAlign w:val="bottom"/>
            <w:hideMark/>
          </w:tcPr>
          <w:p w:rsidRPr="00B3490E" w:rsidR="00B3490E" w:rsidP="00B3490E" w:rsidRDefault="00B3490E" w14:paraId="567A5CDE"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B3490E">
              <w:rPr>
                <w:rFonts w:ascii="Calibri" w:hAnsi="Calibri" w:eastAsia="Times New Roman" w:cs="Times New Roman"/>
                <w:color w:val="000000"/>
                <w:sz w:val="18"/>
                <w:szCs w:val="18"/>
                <w:lang w:eastAsia="zh-CN"/>
              </w:rPr>
              <w:t>Aleppo;Al</w:t>
            </w:r>
            <w:proofErr w:type="gramEnd"/>
            <w:r w:rsidRPr="00B3490E">
              <w:rPr>
                <w:rFonts w:ascii="Calibri" w:hAnsi="Calibri" w:eastAsia="Times New Roman" w:cs="Times New Roman"/>
                <w:color w:val="000000"/>
                <w:sz w:val="18"/>
                <w:szCs w:val="18"/>
                <w:lang w:eastAsia="zh-CN"/>
              </w:rPr>
              <w:t>-Hasakeh;Ar-RaqqaDeir-ez-Zor;Idleb</w:t>
            </w:r>
            <w:proofErr w:type="spellEnd"/>
          </w:p>
        </w:tc>
      </w:tr>
      <w:tr w:rsidRPr="00B3490E" w:rsidR="008451F6" w:rsidTr="008451F6" w14:paraId="242B6AD3" w14:textId="77777777">
        <w:trPr>
          <w:trHeight w:val="249"/>
        </w:trPr>
        <w:tc>
          <w:tcPr>
            <w:tcW w:w="2555" w:type="dxa"/>
            <w:tcBorders>
              <w:top w:val="single" w:color="4472C4" w:sz="4" w:space="0"/>
              <w:left w:val="single" w:color="4472C4" w:sz="4" w:space="0"/>
              <w:bottom w:val="nil"/>
              <w:right w:val="nil"/>
            </w:tcBorders>
            <w:shd w:val="clear" w:color="auto" w:fill="auto"/>
            <w:vAlign w:val="center"/>
            <w:hideMark/>
          </w:tcPr>
          <w:p w:rsidRPr="00B3490E" w:rsidR="00B3490E" w:rsidP="00B3490E" w:rsidRDefault="00B3490E" w14:paraId="37889E96"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OXFAM GB</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0F38AF05"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 xml:space="preserve">                14,200,000 </w:t>
            </w:r>
          </w:p>
        </w:tc>
        <w:tc>
          <w:tcPr>
            <w:tcW w:w="1090" w:type="dxa"/>
            <w:tcBorders>
              <w:top w:val="single" w:color="4472C4" w:sz="4" w:space="0"/>
              <w:left w:val="nil"/>
              <w:bottom w:val="nil"/>
              <w:right w:val="nil"/>
            </w:tcBorders>
            <w:shd w:val="clear" w:color="000000" w:fill="FFCCCC"/>
            <w:noWrap/>
            <w:vAlign w:val="bottom"/>
            <w:hideMark/>
          </w:tcPr>
          <w:p w:rsidRPr="00B3490E" w:rsidR="00B3490E" w:rsidP="00B3490E" w:rsidRDefault="00B3490E" w14:paraId="0C9F1415"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0%</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4DD2251F" w14:textId="77777777">
            <w:pPr>
              <w:spacing w:after="0" w:line="240" w:lineRule="auto"/>
              <w:jc w:val="right"/>
              <w:rPr>
                <w:rFonts w:ascii="Calibri" w:hAnsi="Calibri" w:eastAsia="Times New Roman" w:cs="Times New Roman"/>
                <w:b/>
                <w:bCs/>
                <w:color w:val="000000"/>
                <w:sz w:val="18"/>
                <w:szCs w:val="18"/>
                <w:lang w:eastAsia="zh-CN"/>
              </w:rPr>
            </w:pPr>
            <w:r w:rsidRPr="00B3490E">
              <w:rPr>
                <w:rFonts w:ascii="Calibri" w:hAnsi="Calibri" w:eastAsia="Times New Roman" w:cs="Times New Roman"/>
                <w:b/>
                <w:bCs/>
                <w:color w:val="000000"/>
                <w:sz w:val="18"/>
                <w:szCs w:val="18"/>
                <w:lang w:eastAsia="zh-CN"/>
              </w:rPr>
              <w:t xml:space="preserve">                14,200,000 </w:t>
            </w:r>
          </w:p>
        </w:tc>
        <w:tc>
          <w:tcPr>
            <w:tcW w:w="888" w:type="dxa"/>
            <w:tcBorders>
              <w:top w:val="single" w:color="4472C4" w:sz="4" w:space="0"/>
              <w:left w:val="nil"/>
              <w:bottom w:val="nil"/>
              <w:right w:val="nil"/>
            </w:tcBorders>
            <w:shd w:val="clear" w:color="000000" w:fill="C6E0B4"/>
            <w:noWrap/>
            <w:vAlign w:val="bottom"/>
            <w:hideMark/>
          </w:tcPr>
          <w:p w:rsidRPr="00B3490E" w:rsidR="00B3490E" w:rsidP="00B3490E" w:rsidRDefault="00B3490E" w14:paraId="11E6F8A5"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0%</w:t>
            </w:r>
          </w:p>
        </w:tc>
        <w:tc>
          <w:tcPr>
            <w:tcW w:w="3483" w:type="dxa"/>
            <w:tcBorders>
              <w:top w:val="single" w:color="4472C4" w:sz="4" w:space="0"/>
              <w:left w:val="nil"/>
              <w:bottom w:val="nil"/>
              <w:right w:val="single" w:color="4472C4" w:sz="4" w:space="0"/>
            </w:tcBorders>
            <w:shd w:val="clear" w:color="auto" w:fill="auto"/>
            <w:vAlign w:val="bottom"/>
            <w:hideMark/>
          </w:tcPr>
          <w:p w:rsidRPr="00B3490E" w:rsidR="00B3490E" w:rsidP="00B3490E" w:rsidRDefault="00B3490E" w14:paraId="64DD985F"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B3490E">
              <w:rPr>
                <w:rFonts w:ascii="Calibri" w:hAnsi="Calibri" w:eastAsia="Times New Roman" w:cs="Times New Roman"/>
                <w:color w:val="000000"/>
                <w:sz w:val="18"/>
                <w:szCs w:val="18"/>
                <w:lang w:eastAsia="zh-CN"/>
              </w:rPr>
              <w:t>Aleppo;Dar'a</w:t>
            </w:r>
            <w:proofErr w:type="gramEnd"/>
            <w:r w:rsidRPr="00B3490E">
              <w:rPr>
                <w:rFonts w:ascii="Calibri" w:hAnsi="Calibri" w:eastAsia="Times New Roman" w:cs="Times New Roman"/>
                <w:color w:val="000000"/>
                <w:sz w:val="18"/>
                <w:szCs w:val="18"/>
                <w:lang w:eastAsia="zh-CN"/>
              </w:rPr>
              <w:t>;Deir-ez-Zor;HamaIdlebQuneitra;Rural</w:t>
            </w:r>
            <w:proofErr w:type="spellEnd"/>
            <w:r w:rsidRPr="00B3490E">
              <w:rPr>
                <w:rFonts w:ascii="Calibri" w:hAnsi="Calibri" w:eastAsia="Times New Roman" w:cs="Times New Roman"/>
                <w:color w:val="000000"/>
                <w:sz w:val="18"/>
                <w:szCs w:val="18"/>
                <w:lang w:eastAsia="zh-CN"/>
              </w:rPr>
              <w:t xml:space="preserve"> Damascus;</w:t>
            </w:r>
          </w:p>
        </w:tc>
      </w:tr>
      <w:tr w:rsidRPr="00B3490E" w:rsidR="008451F6" w:rsidTr="008451F6" w14:paraId="30F00F92" w14:textId="77777777">
        <w:trPr>
          <w:trHeight w:val="426"/>
        </w:trPr>
        <w:tc>
          <w:tcPr>
            <w:tcW w:w="2555" w:type="dxa"/>
            <w:tcBorders>
              <w:top w:val="single" w:color="4472C4" w:sz="4" w:space="0"/>
              <w:left w:val="single" w:color="4472C4" w:sz="4" w:space="0"/>
              <w:bottom w:val="nil"/>
              <w:right w:val="nil"/>
            </w:tcBorders>
            <w:shd w:val="clear" w:color="auto" w:fill="auto"/>
            <w:vAlign w:val="center"/>
            <w:hideMark/>
          </w:tcPr>
          <w:p w:rsidRPr="00B3490E" w:rsidR="00B3490E" w:rsidP="00B3490E" w:rsidRDefault="00B3490E" w14:paraId="30ADF339"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Action Against Hunger</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1C58B1FE"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 xml:space="preserve">                   6,652,725 </w:t>
            </w:r>
          </w:p>
        </w:tc>
        <w:tc>
          <w:tcPr>
            <w:tcW w:w="1090" w:type="dxa"/>
            <w:tcBorders>
              <w:top w:val="single" w:color="4472C4" w:sz="4" w:space="0"/>
              <w:left w:val="nil"/>
              <w:bottom w:val="nil"/>
              <w:right w:val="nil"/>
            </w:tcBorders>
            <w:shd w:val="clear" w:color="000000" w:fill="FFF2CC"/>
            <w:noWrap/>
            <w:vAlign w:val="bottom"/>
            <w:hideMark/>
          </w:tcPr>
          <w:p w:rsidRPr="00B3490E" w:rsidR="00B3490E" w:rsidP="00B3490E" w:rsidRDefault="00B3490E" w14:paraId="11B1206A"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51%</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53352C64" w14:textId="77777777">
            <w:pPr>
              <w:spacing w:after="0" w:line="240" w:lineRule="auto"/>
              <w:jc w:val="right"/>
              <w:rPr>
                <w:rFonts w:ascii="Calibri" w:hAnsi="Calibri" w:eastAsia="Times New Roman" w:cs="Times New Roman"/>
                <w:b/>
                <w:bCs/>
                <w:color w:val="000000"/>
                <w:sz w:val="18"/>
                <w:szCs w:val="18"/>
                <w:lang w:eastAsia="zh-CN"/>
              </w:rPr>
            </w:pPr>
            <w:r w:rsidRPr="00B3490E">
              <w:rPr>
                <w:rFonts w:ascii="Calibri" w:hAnsi="Calibri" w:eastAsia="Times New Roman" w:cs="Times New Roman"/>
                <w:b/>
                <w:bCs/>
                <w:color w:val="000000"/>
                <w:sz w:val="18"/>
                <w:szCs w:val="18"/>
                <w:lang w:eastAsia="zh-CN"/>
              </w:rPr>
              <w:t xml:space="preserve">                   8,376,291 </w:t>
            </w:r>
          </w:p>
        </w:tc>
        <w:tc>
          <w:tcPr>
            <w:tcW w:w="888" w:type="dxa"/>
            <w:tcBorders>
              <w:top w:val="single" w:color="4472C4" w:sz="4" w:space="0"/>
              <w:left w:val="nil"/>
              <w:bottom w:val="nil"/>
              <w:right w:val="nil"/>
            </w:tcBorders>
            <w:shd w:val="clear" w:color="000000" w:fill="FFF2CC"/>
            <w:noWrap/>
            <w:vAlign w:val="bottom"/>
            <w:hideMark/>
          </w:tcPr>
          <w:p w:rsidRPr="00B3490E" w:rsidR="00B3490E" w:rsidP="00B3490E" w:rsidRDefault="00B3490E" w14:paraId="39F4E6C6"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26%</w:t>
            </w:r>
          </w:p>
        </w:tc>
        <w:tc>
          <w:tcPr>
            <w:tcW w:w="3483" w:type="dxa"/>
            <w:tcBorders>
              <w:top w:val="single" w:color="4472C4" w:sz="4" w:space="0"/>
              <w:left w:val="nil"/>
              <w:bottom w:val="nil"/>
              <w:right w:val="single" w:color="4472C4" w:sz="4" w:space="0"/>
            </w:tcBorders>
            <w:shd w:val="clear" w:color="auto" w:fill="auto"/>
            <w:vAlign w:val="bottom"/>
            <w:hideMark/>
          </w:tcPr>
          <w:p w:rsidRPr="00B3490E" w:rsidR="00B3490E" w:rsidP="00B3490E" w:rsidRDefault="00B3490E" w14:paraId="034609BB" w14:textId="77777777">
            <w:pPr>
              <w:spacing w:after="0" w:line="240" w:lineRule="auto"/>
              <w:rPr>
                <w:rFonts w:ascii="Calibri" w:hAnsi="Calibri" w:eastAsia="Times New Roman" w:cs="Times New Roman"/>
                <w:color w:val="000000"/>
                <w:sz w:val="18"/>
                <w:szCs w:val="18"/>
                <w:lang w:eastAsia="zh-CN"/>
              </w:rPr>
            </w:pPr>
            <w:proofErr w:type="gramStart"/>
            <w:r w:rsidRPr="00B3490E">
              <w:rPr>
                <w:rFonts w:ascii="Calibri" w:hAnsi="Calibri" w:eastAsia="Times New Roman" w:cs="Times New Roman"/>
                <w:color w:val="000000"/>
                <w:sz w:val="18"/>
                <w:szCs w:val="18"/>
                <w:lang w:eastAsia="zh-CN"/>
              </w:rPr>
              <w:t>Aleppo;Al</w:t>
            </w:r>
            <w:proofErr w:type="gramEnd"/>
            <w:r w:rsidRPr="00B3490E">
              <w:rPr>
                <w:rFonts w:ascii="Calibri" w:hAnsi="Calibri" w:eastAsia="Times New Roman" w:cs="Times New Roman"/>
                <w:color w:val="000000"/>
                <w:sz w:val="18"/>
                <w:szCs w:val="18"/>
                <w:lang w:eastAsia="zh-CN"/>
              </w:rPr>
              <w:t>-Hasakeh;Ar-Raqqa;Dar'a;Deir-ez-Zor;Hama;Homs;Idleb;Rural Damascus;</w:t>
            </w:r>
          </w:p>
        </w:tc>
      </w:tr>
      <w:tr w:rsidRPr="00B3490E" w:rsidR="008451F6" w:rsidTr="008451F6" w14:paraId="6A4A5EAF" w14:textId="77777777">
        <w:trPr>
          <w:trHeight w:val="249"/>
        </w:trPr>
        <w:tc>
          <w:tcPr>
            <w:tcW w:w="2555" w:type="dxa"/>
            <w:tcBorders>
              <w:top w:val="single" w:color="4472C4" w:sz="4" w:space="0"/>
              <w:left w:val="single" w:color="4472C4" w:sz="4" w:space="0"/>
              <w:bottom w:val="nil"/>
              <w:right w:val="nil"/>
            </w:tcBorders>
            <w:shd w:val="clear" w:color="auto" w:fill="auto"/>
            <w:vAlign w:val="center"/>
            <w:hideMark/>
          </w:tcPr>
          <w:p w:rsidRPr="00B3490E" w:rsidR="00B3490E" w:rsidP="00B3490E" w:rsidRDefault="00B3490E" w14:paraId="04921635"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Norwegian Refugee Council</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736AA247"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 xml:space="preserve">                   4,626,684 </w:t>
            </w:r>
          </w:p>
        </w:tc>
        <w:tc>
          <w:tcPr>
            <w:tcW w:w="1090" w:type="dxa"/>
            <w:tcBorders>
              <w:top w:val="single" w:color="4472C4" w:sz="4" w:space="0"/>
              <w:left w:val="nil"/>
              <w:bottom w:val="nil"/>
              <w:right w:val="nil"/>
            </w:tcBorders>
            <w:shd w:val="clear" w:color="000000" w:fill="C6E0B4"/>
            <w:noWrap/>
            <w:vAlign w:val="bottom"/>
            <w:hideMark/>
          </w:tcPr>
          <w:p w:rsidRPr="00B3490E" w:rsidR="00B3490E" w:rsidP="00B3490E" w:rsidRDefault="00B3490E" w14:paraId="5CE07261"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61%</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2990E55B" w14:textId="77777777">
            <w:pPr>
              <w:spacing w:after="0" w:line="240" w:lineRule="auto"/>
              <w:jc w:val="right"/>
              <w:rPr>
                <w:rFonts w:ascii="Calibri" w:hAnsi="Calibri" w:eastAsia="Times New Roman" w:cs="Times New Roman"/>
                <w:b/>
                <w:bCs/>
                <w:color w:val="000000"/>
                <w:sz w:val="18"/>
                <w:szCs w:val="18"/>
                <w:lang w:eastAsia="zh-CN"/>
              </w:rPr>
            </w:pPr>
            <w:r w:rsidRPr="00B3490E">
              <w:rPr>
                <w:rFonts w:ascii="Calibri" w:hAnsi="Calibri" w:eastAsia="Times New Roman" w:cs="Times New Roman"/>
                <w:b/>
                <w:bCs/>
                <w:color w:val="000000"/>
                <w:sz w:val="18"/>
                <w:szCs w:val="18"/>
                <w:lang w:eastAsia="zh-CN"/>
              </w:rPr>
              <w:t xml:space="preserve">                   8,227,548 </w:t>
            </w:r>
          </w:p>
        </w:tc>
        <w:tc>
          <w:tcPr>
            <w:tcW w:w="888" w:type="dxa"/>
            <w:tcBorders>
              <w:top w:val="single" w:color="4472C4" w:sz="4" w:space="0"/>
              <w:left w:val="nil"/>
              <w:bottom w:val="nil"/>
              <w:right w:val="nil"/>
            </w:tcBorders>
            <w:shd w:val="clear" w:color="000000" w:fill="FFCCCC"/>
            <w:noWrap/>
            <w:vAlign w:val="bottom"/>
            <w:hideMark/>
          </w:tcPr>
          <w:p w:rsidRPr="00B3490E" w:rsidR="00B3490E" w:rsidP="00B3490E" w:rsidRDefault="00B3490E" w14:paraId="36BBA009"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78%</w:t>
            </w:r>
          </w:p>
        </w:tc>
        <w:tc>
          <w:tcPr>
            <w:tcW w:w="3483" w:type="dxa"/>
            <w:tcBorders>
              <w:top w:val="single" w:color="4472C4" w:sz="4" w:space="0"/>
              <w:left w:val="nil"/>
              <w:bottom w:val="nil"/>
              <w:right w:val="single" w:color="4472C4" w:sz="4" w:space="0"/>
            </w:tcBorders>
            <w:shd w:val="clear" w:color="auto" w:fill="auto"/>
            <w:vAlign w:val="bottom"/>
            <w:hideMark/>
          </w:tcPr>
          <w:p w:rsidRPr="00B3490E" w:rsidR="00B3490E" w:rsidP="00B3490E" w:rsidRDefault="00B3490E" w14:paraId="56F75A27"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 </w:t>
            </w:r>
          </w:p>
        </w:tc>
      </w:tr>
      <w:tr w:rsidRPr="00B3490E" w:rsidR="008451F6" w:rsidTr="008451F6" w14:paraId="088E0A09" w14:textId="77777777">
        <w:trPr>
          <w:trHeight w:val="426"/>
        </w:trPr>
        <w:tc>
          <w:tcPr>
            <w:tcW w:w="2555" w:type="dxa"/>
            <w:tcBorders>
              <w:top w:val="single" w:color="4472C4" w:sz="4" w:space="0"/>
              <w:left w:val="single" w:color="4472C4" w:sz="4" w:space="0"/>
              <w:bottom w:val="nil"/>
              <w:right w:val="nil"/>
            </w:tcBorders>
            <w:shd w:val="clear" w:color="auto" w:fill="auto"/>
            <w:vAlign w:val="center"/>
            <w:hideMark/>
          </w:tcPr>
          <w:p w:rsidRPr="00B3490E" w:rsidR="00B3490E" w:rsidP="00B3490E" w:rsidRDefault="00B3490E" w14:paraId="421F5B95"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Rebuild Syria Reconstruction Program</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48092E35"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 xml:space="preserve">                   3,462,117 </w:t>
            </w:r>
          </w:p>
        </w:tc>
        <w:tc>
          <w:tcPr>
            <w:tcW w:w="1090" w:type="dxa"/>
            <w:tcBorders>
              <w:top w:val="single" w:color="4472C4" w:sz="4" w:space="0"/>
              <w:left w:val="nil"/>
              <w:bottom w:val="nil"/>
              <w:right w:val="nil"/>
            </w:tcBorders>
            <w:shd w:val="clear" w:color="000000" w:fill="FFCCCC"/>
            <w:noWrap/>
            <w:vAlign w:val="bottom"/>
            <w:hideMark/>
          </w:tcPr>
          <w:p w:rsidRPr="00B3490E" w:rsidR="00B3490E" w:rsidP="00B3490E" w:rsidRDefault="00B3490E" w14:paraId="233E813F"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0%</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2FF10722" w14:textId="77777777">
            <w:pPr>
              <w:spacing w:after="0" w:line="240" w:lineRule="auto"/>
              <w:jc w:val="right"/>
              <w:rPr>
                <w:rFonts w:ascii="Calibri" w:hAnsi="Calibri" w:eastAsia="Times New Roman" w:cs="Times New Roman"/>
                <w:b/>
                <w:bCs/>
                <w:color w:val="000000"/>
                <w:sz w:val="18"/>
                <w:szCs w:val="18"/>
                <w:lang w:eastAsia="zh-CN"/>
              </w:rPr>
            </w:pPr>
            <w:r w:rsidRPr="00B3490E">
              <w:rPr>
                <w:rFonts w:ascii="Calibri" w:hAnsi="Calibri" w:eastAsia="Times New Roman" w:cs="Times New Roman"/>
                <w:b/>
                <w:bCs/>
                <w:color w:val="000000"/>
                <w:sz w:val="18"/>
                <w:szCs w:val="18"/>
                <w:lang w:eastAsia="zh-CN"/>
              </w:rPr>
              <w:t xml:space="preserve">                   8,117,769 </w:t>
            </w:r>
          </w:p>
        </w:tc>
        <w:tc>
          <w:tcPr>
            <w:tcW w:w="888" w:type="dxa"/>
            <w:tcBorders>
              <w:top w:val="single" w:color="4472C4" w:sz="4" w:space="0"/>
              <w:left w:val="nil"/>
              <w:bottom w:val="nil"/>
              <w:right w:val="nil"/>
            </w:tcBorders>
            <w:shd w:val="clear" w:color="000000" w:fill="FFCCCC"/>
            <w:noWrap/>
            <w:vAlign w:val="bottom"/>
            <w:hideMark/>
          </w:tcPr>
          <w:p w:rsidRPr="00B3490E" w:rsidR="00B3490E" w:rsidP="00B3490E" w:rsidRDefault="00B3490E" w14:paraId="4CAB7480"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134%</w:t>
            </w:r>
          </w:p>
        </w:tc>
        <w:tc>
          <w:tcPr>
            <w:tcW w:w="3483" w:type="dxa"/>
            <w:tcBorders>
              <w:top w:val="single" w:color="4472C4" w:sz="4" w:space="0"/>
              <w:left w:val="nil"/>
              <w:bottom w:val="nil"/>
              <w:right w:val="single" w:color="4472C4" w:sz="4" w:space="0"/>
            </w:tcBorders>
            <w:shd w:val="clear" w:color="auto" w:fill="auto"/>
            <w:vAlign w:val="bottom"/>
            <w:hideMark/>
          </w:tcPr>
          <w:p w:rsidRPr="00B3490E" w:rsidR="00B3490E" w:rsidP="00B3490E" w:rsidRDefault="00B3490E" w14:paraId="68A12179"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B3490E">
              <w:rPr>
                <w:rFonts w:ascii="Calibri" w:hAnsi="Calibri" w:eastAsia="Times New Roman" w:cs="Times New Roman"/>
                <w:color w:val="000000"/>
                <w:sz w:val="18"/>
                <w:szCs w:val="18"/>
                <w:lang w:eastAsia="zh-CN"/>
              </w:rPr>
              <w:t>Aleppo;As</w:t>
            </w:r>
            <w:proofErr w:type="gramEnd"/>
            <w:r w:rsidRPr="00B3490E">
              <w:rPr>
                <w:rFonts w:ascii="Calibri" w:hAnsi="Calibri" w:eastAsia="Times New Roman" w:cs="Times New Roman"/>
                <w:color w:val="000000"/>
                <w:sz w:val="18"/>
                <w:szCs w:val="18"/>
                <w:lang w:eastAsia="zh-CN"/>
              </w:rPr>
              <w:t>-SweidaDar'a;Deir-ez-Zor;Hama;HomsRural</w:t>
            </w:r>
            <w:proofErr w:type="spellEnd"/>
            <w:r w:rsidRPr="00B3490E">
              <w:rPr>
                <w:rFonts w:ascii="Calibri" w:hAnsi="Calibri" w:eastAsia="Times New Roman" w:cs="Times New Roman"/>
                <w:color w:val="000000"/>
                <w:sz w:val="18"/>
                <w:szCs w:val="18"/>
                <w:lang w:eastAsia="zh-CN"/>
              </w:rPr>
              <w:t xml:space="preserve"> Damascus;</w:t>
            </w:r>
          </w:p>
        </w:tc>
      </w:tr>
      <w:tr w:rsidRPr="00B3490E" w:rsidR="008451F6" w:rsidTr="008451F6" w14:paraId="62E45EE6" w14:textId="77777777">
        <w:trPr>
          <w:trHeight w:val="249"/>
        </w:trPr>
        <w:tc>
          <w:tcPr>
            <w:tcW w:w="2555" w:type="dxa"/>
            <w:tcBorders>
              <w:top w:val="single" w:color="4472C4" w:sz="4" w:space="0"/>
              <w:left w:val="single" w:color="4472C4" w:sz="4" w:space="0"/>
              <w:bottom w:val="nil"/>
              <w:right w:val="nil"/>
            </w:tcBorders>
            <w:shd w:val="clear" w:color="auto" w:fill="auto"/>
            <w:vAlign w:val="center"/>
            <w:hideMark/>
          </w:tcPr>
          <w:p w:rsidRPr="00B3490E" w:rsidR="00B3490E" w:rsidP="00B3490E" w:rsidRDefault="00B3490E" w14:paraId="4C239E09"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The Mentor Initiative</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0D72A3E7"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 xml:space="preserve">                   3,555,538 </w:t>
            </w:r>
          </w:p>
        </w:tc>
        <w:tc>
          <w:tcPr>
            <w:tcW w:w="1090" w:type="dxa"/>
            <w:tcBorders>
              <w:top w:val="single" w:color="4472C4" w:sz="4" w:space="0"/>
              <w:left w:val="nil"/>
              <w:bottom w:val="nil"/>
              <w:right w:val="nil"/>
            </w:tcBorders>
            <w:shd w:val="clear" w:color="000000" w:fill="FFCCCC"/>
            <w:noWrap/>
            <w:vAlign w:val="bottom"/>
            <w:hideMark/>
          </w:tcPr>
          <w:p w:rsidRPr="00B3490E" w:rsidR="00B3490E" w:rsidP="00B3490E" w:rsidRDefault="00B3490E" w14:paraId="0206863A"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0%</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4F58001D" w14:textId="77777777">
            <w:pPr>
              <w:spacing w:after="0" w:line="240" w:lineRule="auto"/>
              <w:jc w:val="right"/>
              <w:rPr>
                <w:rFonts w:ascii="Calibri" w:hAnsi="Calibri" w:eastAsia="Times New Roman" w:cs="Times New Roman"/>
                <w:b/>
                <w:bCs/>
                <w:color w:val="000000"/>
                <w:sz w:val="18"/>
                <w:szCs w:val="18"/>
                <w:lang w:eastAsia="zh-CN"/>
              </w:rPr>
            </w:pPr>
            <w:r w:rsidRPr="00B3490E">
              <w:rPr>
                <w:rFonts w:ascii="Calibri" w:hAnsi="Calibri" w:eastAsia="Times New Roman" w:cs="Times New Roman"/>
                <w:b/>
                <w:bCs/>
                <w:color w:val="000000"/>
                <w:sz w:val="18"/>
                <w:szCs w:val="18"/>
                <w:lang w:eastAsia="zh-CN"/>
              </w:rPr>
              <w:t xml:space="preserve">                   5,914,295 </w:t>
            </w:r>
          </w:p>
        </w:tc>
        <w:tc>
          <w:tcPr>
            <w:tcW w:w="888" w:type="dxa"/>
            <w:tcBorders>
              <w:top w:val="single" w:color="4472C4" w:sz="4" w:space="0"/>
              <w:left w:val="nil"/>
              <w:bottom w:val="nil"/>
              <w:right w:val="nil"/>
            </w:tcBorders>
            <w:shd w:val="clear" w:color="000000" w:fill="FFCCCC"/>
            <w:noWrap/>
            <w:vAlign w:val="bottom"/>
            <w:hideMark/>
          </w:tcPr>
          <w:p w:rsidRPr="00B3490E" w:rsidR="00B3490E" w:rsidP="00B3490E" w:rsidRDefault="00B3490E" w14:paraId="7E093658"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66%</w:t>
            </w:r>
          </w:p>
        </w:tc>
        <w:tc>
          <w:tcPr>
            <w:tcW w:w="3483" w:type="dxa"/>
            <w:tcBorders>
              <w:top w:val="single" w:color="4472C4" w:sz="4" w:space="0"/>
              <w:left w:val="nil"/>
              <w:bottom w:val="nil"/>
              <w:right w:val="single" w:color="4472C4" w:sz="4" w:space="0"/>
            </w:tcBorders>
            <w:shd w:val="clear" w:color="auto" w:fill="auto"/>
            <w:vAlign w:val="bottom"/>
            <w:hideMark/>
          </w:tcPr>
          <w:p w:rsidRPr="00B3490E" w:rsidR="00B3490E" w:rsidP="00B3490E" w:rsidRDefault="00B3490E" w14:paraId="4276CEB2"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B3490E">
              <w:rPr>
                <w:rFonts w:ascii="Calibri" w:hAnsi="Calibri" w:eastAsia="Times New Roman" w:cs="Times New Roman"/>
                <w:color w:val="000000"/>
                <w:sz w:val="18"/>
                <w:szCs w:val="18"/>
                <w:lang w:eastAsia="zh-CN"/>
              </w:rPr>
              <w:t>Aleppo;Al</w:t>
            </w:r>
            <w:proofErr w:type="gramEnd"/>
            <w:r w:rsidRPr="00B3490E">
              <w:rPr>
                <w:rFonts w:ascii="Calibri" w:hAnsi="Calibri" w:eastAsia="Times New Roman" w:cs="Times New Roman"/>
                <w:color w:val="000000"/>
                <w:sz w:val="18"/>
                <w:szCs w:val="18"/>
                <w:lang w:eastAsia="zh-CN"/>
              </w:rPr>
              <w:t>-Hasakeh;Ar-RaqqaDeir-ez-Zor;Idleb</w:t>
            </w:r>
            <w:proofErr w:type="spellEnd"/>
          </w:p>
        </w:tc>
      </w:tr>
      <w:tr w:rsidRPr="00B3490E" w:rsidR="008451F6" w:rsidTr="008451F6" w14:paraId="4150E7C4" w14:textId="77777777">
        <w:trPr>
          <w:trHeight w:val="415"/>
        </w:trPr>
        <w:tc>
          <w:tcPr>
            <w:tcW w:w="2555" w:type="dxa"/>
            <w:tcBorders>
              <w:top w:val="single" w:color="4472C4" w:sz="4" w:space="0"/>
              <w:left w:val="single" w:color="4472C4" w:sz="4" w:space="0"/>
              <w:bottom w:val="nil"/>
              <w:right w:val="nil"/>
            </w:tcBorders>
            <w:shd w:val="clear" w:color="auto" w:fill="auto"/>
            <w:vAlign w:val="center"/>
            <w:hideMark/>
          </w:tcPr>
          <w:p w:rsidRPr="00B3490E" w:rsidR="00B3490E" w:rsidP="00B3490E" w:rsidRDefault="00B3490E" w14:paraId="6E198E65"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United Nations High Commissioner for Refugees</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6578A7A9"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 xml:space="preserve">                   5,341,355 </w:t>
            </w:r>
          </w:p>
        </w:tc>
        <w:tc>
          <w:tcPr>
            <w:tcW w:w="1090" w:type="dxa"/>
            <w:tcBorders>
              <w:top w:val="single" w:color="4472C4" w:sz="4" w:space="0"/>
              <w:left w:val="nil"/>
              <w:bottom w:val="nil"/>
              <w:right w:val="nil"/>
            </w:tcBorders>
            <w:shd w:val="clear" w:color="000000" w:fill="FFCCCC"/>
            <w:noWrap/>
            <w:vAlign w:val="bottom"/>
            <w:hideMark/>
          </w:tcPr>
          <w:p w:rsidRPr="00B3490E" w:rsidR="00B3490E" w:rsidP="00B3490E" w:rsidRDefault="00B3490E" w14:paraId="60C4D8AE"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20%</w:t>
            </w:r>
          </w:p>
        </w:tc>
        <w:tc>
          <w:tcPr>
            <w:tcW w:w="1231" w:type="dxa"/>
            <w:tcBorders>
              <w:top w:val="single" w:color="4472C4" w:sz="4" w:space="0"/>
              <w:left w:val="nil"/>
              <w:bottom w:val="nil"/>
              <w:right w:val="nil"/>
            </w:tcBorders>
            <w:shd w:val="clear" w:color="auto" w:fill="auto"/>
            <w:noWrap/>
            <w:vAlign w:val="bottom"/>
            <w:hideMark/>
          </w:tcPr>
          <w:p w:rsidRPr="00B3490E" w:rsidR="00B3490E" w:rsidP="00B3490E" w:rsidRDefault="00B3490E" w14:paraId="7AB986B1" w14:textId="77777777">
            <w:pPr>
              <w:spacing w:after="0" w:line="240" w:lineRule="auto"/>
              <w:jc w:val="right"/>
              <w:rPr>
                <w:rFonts w:ascii="Calibri" w:hAnsi="Calibri" w:eastAsia="Times New Roman" w:cs="Times New Roman"/>
                <w:b/>
                <w:bCs/>
                <w:color w:val="000000"/>
                <w:sz w:val="18"/>
                <w:szCs w:val="18"/>
                <w:lang w:eastAsia="zh-CN"/>
              </w:rPr>
            </w:pPr>
            <w:r w:rsidRPr="00B3490E">
              <w:rPr>
                <w:rFonts w:ascii="Calibri" w:hAnsi="Calibri" w:eastAsia="Times New Roman" w:cs="Times New Roman"/>
                <w:b/>
                <w:bCs/>
                <w:color w:val="000000"/>
                <w:sz w:val="18"/>
                <w:szCs w:val="18"/>
                <w:lang w:eastAsia="zh-CN"/>
              </w:rPr>
              <w:t xml:space="preserve">                   5,746,588 </w:t>
            </w:r>
          </w:p>
        </w:tc>
        <w:tc>
          <w:tcPr>
            <w:tcW w:w="888" w:type="dxa"/>
            <w:tcBorders>
              <w:top w:val="single" w:color="4472C4" w:sz="4" w:space="0"/>
              <w:left w:val="nil"/>
              <w:bottom w:val="nil"/>
              <w:right w:val="nil"/>
            </w:tcBorders>
            <w:shd w:val="clear" w:color="000000" w:fill="C6E0B4"/>
            <w:noWrap/>
            <w:vAlign w:val="bottom"/>
            <w:hideMark/>
          </w:tcPr>
          <w:p w:rsidRPr="00B3490E" w:rsidR="00B3490E" w:rsidP="00B3490E" w:rsidRDefault="00B3490E" w14:paraId="3A711B54"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8%</w:t>
            </w:r>
          </w:p>
        </w:tc>
        <w:tc>
          <w:tcPr>
            <w:tcW w:w="3483" w:type="dxa"/>
            <w:tcBorders>
              <w:top w:val="single" w:color="4472C4" w:sz="4" w:space="0"/>
              <w:left w:val="nil"/>
              <w:bottom w:val="nil"/>
              <w:right w:val="single" w:color="4472C4" w:sz="4" w:space="0"/>
            </w:tcBorders>
            <w:shd w:val="clear" w:color="auto" w:fill="auto"/>
            <w:vAlign w:val="bottom"/>
            <w:hideMark/>
          </w:tcPr>
          <w:p w:rsidRPr="00B3490E" w:rsidR="00B3490E" w:rsidP="00B3490E" w:rsidRDefault="00B3490E" w14:paraId="20323611"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All 14 governorates</w:t>
            </w:r>
          </w:p>
        </w:tc>
      </w:tr>
      <w:tr w:rsidRPr="00B3490E" w:rsidR="008451F6" w:rsidTr="008451F6" w14:paraId="51BD15B9" w14:textId="77777777">
        <w:trPr>
          <w:trHeight w:val="249"/>
        </w:trPr>
        <w:tc>
          <w:tcPr>
            <w:tcW w:w="2555" w:type="dxa"/>
            <w:tcBorders>
              <w:top w:val="single" w:color="4472C4" w:sz="4" w:space="0"/>
              <w:left w:val="single" w:color="4472C4" w:sz="4" w:space="0"/>
              <w:bottom w:val="single" w:color="4472C4" w:sz="4" w:space="0"/>
              <w:right w:val="nil"/>
            </w:tcBorders>
            <w:shd w:val="clear" w:color="auto" w:fill="auto"/>
            <w:vAlign w:val="center"/>
            <w:hideMark/>
          </w:tcPr>
          <w:p w:rsidRPr="00B3490E" w:rsidR="00B3490E" w:rsidP="00B3490E" w:rsidRDefault="00B3490E" w14:paraId="57D82FE1" w14:textId="77777777">
            <w:pPr>
              <w:spacing w:after="0" w:line="240" w:lineRule="auto"/>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International Organization for Migration</w:t>
            </w:r>
          </w:p>
        </w:tc>
        <w:tc>
          <w:tcPr>
            <w:tcW w:w="1231" w:type="dxa"/>
            <w:tcBorders>
              <w:top w:val="single" w:color="4472C4" w:sz="4" w:space="0"/>
              <w:left w:val="nil"/>
              <w:bottom w:val="single" w:color="4472C4" w:sz="4" w:space="0"/>
              <w:right w:val="nil"/>
            </w:tcBorders>
            <w:shd w:val="clear" w:color="auto" w:fill="auto"/>
            <w:noWrap/>
            <w:vAlign w:val="bottom"/>
            <w:hideMark/>
          </w:tcPr>
          <w:p w:rsidRPr="00B3490E" w:rsidR="00B3490E" w:rsidP="00B3490E" w:rsidRDefault="00B3490E" w14:paraId="1BB1B73D"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 xml:space="preserve">                   3,267,000 </w:t>
            </w:r>
          </w:p>
        </w:tc>
        <w:tc>
          <w:tcPr>
            <w:tcW w:w="1090" w:type="dxa"/>
            <w:tcBorders>
              <w:top w:val="single" w:color="4472C4" w:sz="4" w:space="0"/>
              <w:left w:val="nil"/>
              <w:bottom w:val="single" w:color="4472C4" w:sz="4" w:space="0"/>
              <w:right w:val="nil"/>
            </w:tcBorders>
            <w:shd w:val="clear" w:color="000000" w:fill="FFF2CC"/>
            <w:noWrap/>
            <w:vAlign w:val="bottom"/>
            <w:hideMark/>
          </w:tcPr>
          <w:p w:rsidRPr="00B3490E" w:rsidR="00B3490E" w:rsidP="00B3490E" w:rsidRDefault="00B3490E" w14:paraId="0BCF533D"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54%</w:t>
            </w:r>
          </w:p>
        </w:tc>
        <w:tc>
          <w:tcPr>
            <w:tcW w:w="1231" w:type="dxa"/>
            <w:tcBorders>
              <w:top w:val="single" w:color="4472C4" w:sz="4" w:space="0"/>
              <w:left w:val="nil"/>
              <w:bottom w:val="single" w:color="4472C4" w:sz="4" w:space="0"/>
              <w:right w:val="nil"/>
            </w:tcBorders>
            <w:shd w:val="clear" w:color="auto" w:fill="auto"/>
            <w:noWrap/>
            <w:vAlign w:val="bottom"/>
            <w:hideMark/>
          </w:tcPr>
          <w:p w:rsidRPr="00B3490E" w:rsidR="00B3490E" w:rsidP="00B3490E" w:rsidRDefault="00B3490E" w14:paraId="2BB907DB" w14:textId="77777777">
            <w:pPr>
              <w:spacing w:after="0" w:line="240" w:lineRule="auto"/>
              <w:jc w:val="right"/>
              <w:rPr>
                <w:rFonts w:ascii="Calibri" w:hAnsi="Calibri" w:eastAsia="Times New Roman" w:cs="Times New Roman"/>
                <w:b/>
                <w:bCs/>
                <w:color w:val="000000"/>
                <w:sz w:val="18"/>
                <w:szCs w:val="18"/>
                <w:lang w:eastAsia="zh-CN"/>
              </w:rPr>
            </w:pPr>
            <w:r w:rsidRPr="00B3490E">
              <w:rPr>
                <w:rFonts w:ascii="Calibri" w:hAnsi="Calibri" w:eastAsia="Times New Roman" w:cs="Times New Roman"/>
                <w:b/>
                <w:bCs/>
                <w:color w:val="000000"/>
                <w:sz w:val="18"/>
                <w:szCs w:val="18"/>
                <w:lang w:eastAsia="zh-CN"/>
              </w:rPr>
              <w:t xml:space="preserve">                   5,366,050 </w:t>
            </w:r>
          </w:p>
        </w:tc>
        <w:tc>
          <w:tcPr>
            <w:tcW w:w="888" w:type="dxa"/>
            <w:tcBorders>
              <w:top w:val="single" w:color="4472C4" w:sz="4" w:space="0"/>
              <w:left w:val="nil"/>
              <w:bottom w:val="nil"/>
              <w:right w:val="nil"/>
            </w:tcBorders>
            <w:shd w:val="clear" w:color="000000" w:fill="FFCCCC"/>
            <w:noWrap/>
            <w:vAlign w:val="bottom"/>
            <w:hideMark/>
          </w:tcPr>
          <w:p w:rsidRPr="00B3490E" w:rsidR="00B3490E" w:rsidP="00B3490E" w:rsidRDefault="00B3490E" w14:paraId="746F14FA" w14:textId="77777777">
            <w:pPr>
              <w:spacing w:after="0" w:line="240" w:lineRule="auto"/>
              <w:jc w:val="right"/>
              <w:rPr>
                <w:rFonts w:ascii="Calibri" w:hAnsi="Calibri" w:eastAsia="Times New Roman" w:cs="Times New Roman"/>
                <w:color w:val="000000"/>
                <w:sz w:val="18"/>
                <w:szCs w:val="18"/>
                <w:lang w:eastAsia="zh-CN"/>
              </w:rPr>
            </w:pPr>
            <w:r w:rsidRPr="00B3490E">
              <w:rPr>
                <w:rFonts w:ascii="Calibri" w:hAnsi="Calibri" w:eastAsia="Times New Roman" w:cs="Times New Roman"/>
                <w:color w:val="000000"/>
                <w:sz w:val="18"/>
                <w:szCs w:val="18"/>
                <w:lang w:eastAsia="zh-CN"/>
              </w:rPr>
              <w:t>64%</w:t>
            </w:r>
          </w:p>
        </w:tc>
        <w:tc>
          <w:tcPr>
            <w:tcW w:w="3483" w:type="dxa"/>
            <w:tcBorders>
              <w:top w:val="single" w:color="4472C4" w:sz="4" w:space="0"/>
              <w:left w:val="nil"/>
              <w:bottom w:val="single" w:color="4472C4" w:sz="4" w:space="0"/>
              <w:right w:val="single" w:color="4472C4" w:sz="4" w:space="0"/>
            </w:tcBorders>
            <w:shd w:val="clear" w:color="auto" w:fill="auto"/>
            <w:vAlign w:val="bottom"/>
            <w:hideMark/>
          </w:tcPr>
          <w:p w:rsidRPr="00B3490E" w:rsidR="00B3490E" w:rsidP="00B3490E" w:rsidRDefault="00B3490E" w14:paraId="6484B267" w14:textId="77777777">
            <w:pPr>
              <w:spacing w:after="0" w:line="240" w:lineRule="auto"/>
              <w:rPr>
                <w:rFonts w:ascii="Calibri" w:hAnsi="Calibri" w:eastAsia="Times New Roman" w:cs="Times New Roman"/>
                <w:color w:val="000000"/>
                <w:sz w:val="18"/>
                <w:szCs w:val="18"/>
                <w:lang w:eastAsia="zh-CN"/>
              </w:rPr>
            </w:pPr>
            <w:proofErr w:type="spellStart"/>
            <w:proofErr w:type="gramStart"/>
            <w:r w:rsidRPr="00B3490E">
              <w:rPr>
                <w:rFonts w:ascii="Calibri" w:hAnsi="Calibri" w:eastAsia="Times New Roman" w:cs="Times New Roman"/>
                <w:color w:val="000000"/>
                <w:sz w:val="18"/>
                <w:szCs w:val="18"/>
                <w:lang w:eastAsia="zh-CN"/>
              </w:rPr>
              <w:t>Aleppo;Idleb</w:t>
            </w:r>
            <w:proofErr w:type="spellEnd"/>
            <w:proofErr w:type="gramEnd"/>
          </w:p>
        </w:tc>
      </w:tr>
    </w:tbl>
    <w:p w:rsidRPr="0044254B" w:rsidR="0044254B" w:rsidP="00B3490E" w:rsidRDefault="0044254B" w14:paraId="4A2AC7BA" w14:textId="77777777">
      <w:pPr>
        <w:tabs>
          <w:tab w:val="left" w:pos="1578"/>
        </w:tabs>
        <w:spacing w:line="240" w:lineRule="auto"/>
        <w:ind w:firstLine="720"/>
      </w:pPr>
    </w:p>
    <w:sectPr w:rsidRPr="0044254B" w:rsidR="0044254B" w:rsidSect="00712068">
      <w:headerReference w:type="default" r:id="rId15"/>
      <w:footerReference w:type="default" r:id="rId16"/>
      <w:pgSz w:w="12240" w:h="15840" w:orient="portrait"/>
      <w:pgMar w:top="990" w:right="144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8E8" w:rsidP="00A177A4" w:rsidRDefault="00FC28E8" w14:paraId="73AD7DC8" w14:textId="77777777">
      <w:pPr>
        <w:spacing w:after="0" w:line="240" w:lineRule="auto"/>
      </w:pPr>
      <w:r>
        <w:separator/>
      </w:r>
    </w:p>
  </w:endnote>
  <w:endnote w:type="continuationSeparator" w:id="0">
    <w:p w:rsidR="00FC28E8" w:rsidP="00A177A4" w:rsidRDefault="00FC28E8" w14:paraId="022ED3E2" w14:textId="77777777">
      <w:pPr>
        <w:spacing w:after="0" w:line="240" w:lineRule="auto"/>
      </w:pPr>
      <w:r>
        <w:continuationSeparator/>
      </w:r>
    </w:p>
  </w:endnote>
  <w:endnote w:type="continuationNotice" w:id="1">
    <w:p w:rsidR="00FC28E8" w:rsidRDefault="00FC28E8" w14:paraId="193581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Condensed-Light">
    <w:altName w:val="Arial"/>
    <w:charset w:val="00"/>
    <w:family w:val="roman"/>
    <w:pitch w:val="variable"/>
    <w:sig w:usb0="00000003" w:usb1="00000000" w:usb2="00000000" w:usb3="00000000" w:csb0="00000001"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altName w:val="Arial"/>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802161"/>
      <w:docPartObj>
        <w:docPartGallery w:val="Page Numbers (Bottom of Page)"/>
        <w:docPartUnique/>
      </w:docPartObj>
    </w:sdtPr>
    <w:sdtEndPr>
      <w:rPr>
        <w:noProof/>
      </w:rPr>
    </w:sdtEndPr>
    <w:sdtContent>
      <w:p w:rsidR="00AB48E7" w:rsidRDefault="00C65F2C" w14:paraId="714782F7" w14:textId="063AA8AB">
        <w:pPr>
          <w:pStyle w:val="Footer"/>
          <w:jc w:val="right"/>
        </w:pPr>
        <w:r>
          <w:fldChar w:fldCharType="begin"/>
        </w:r>
        <w:r>
          <w:instrText xml:space="preserve"> PAGE   \* MERGEFORMAT </w:instrText>
        </w:r>
        <w:r>
          <w:fldChar w:fldCharType="separate"/>
        </w:r>
        <w:r w:rsidR="00E226D5">
          <w:rPr>
            <w:noProof/>
          </w:rPr>
          <w:t>1</w:t>
        </w:r>
        <w:r>
          <w:fldChar w:fldCharType="end"/>
        </w:r>
      </w:p>
    </w:sdtContent>
  </w:sdt>
  <w:p w:rsidR="002011BA" w:rsidRDefault="002011BA" w14:paraId="0CAF28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8E8" w:rsidP="00A177A4" w:rsidRDefault="00FC28E8" w14:paraId="7CB6C210" w14:textId="77777777">
      <w:pPr>
        <w:spacing w:after="0" w:line="240" w:lineRule="auto"/>
      </w:pPr>
      <w:r>
        <w:separator/>
      </w:r>
    </w:p>
  </w:footnote>
  <w:footnote w:type="continuationSeparator" w:id="0">
    <w:p w:rsidR="00FC28E8" w:rsidP="00A177A4" w:rsidRDefault="00FC28E8" w14:paraId="4CE6E934" w14:textId="77777777">
      <w:pPr>
        <w:spacing w:after="0" w:line="240" w:lineRule="auto"/>
      </w:pPr>
      <w:r>
        <w:continuationSeparator/>
      </w:r>
    </w:p>
  </w:footnote>
  <w:footnote w:type="continuationNotice" w:id="1">
    <w:p w:rsidR="00FC28E8" w:rsidRDefault="00FC28E8" w14:paraId="34D97687" w14:textId="77777777">
      <w:pPr>
        <w:spacing w:after="0" w:line="240" w:lineRule="auto"/>
      </w:pPr>
    </w:p>
  </w:footnote>
  <w:footnote w:id="2">
    <w:p w:rsidR="00EB0E50" w:rsidP="00755DC7" w:rsidRDefault="00EB0E50" w14:paraId="15D59C32" w14:textId="77777777">
      <w:pPr>
        <w:pStyle w:val="FootnoteText"/>
      </w:pPr>
      <w:r>
        <w:rPr>
          <w:rStyle w:val="FootnoteReference"/>
        </w:rPr>
        <w:footnoteRef/>
      </w:r>
      <w:r>
        <w:t xml:space="preserve"> Formal accredited (i.e. GOS) and formal non-accredited (i.e. KSA, GOT, SIG)</w:t>
      </w:r>
    </w:p>
  </w:footnote>
  <w:footnote w:id="3">
    <w:p w:rsidR="0020322F" w:rsidRDefault="0020322F" w14:paraId="5C6023B9" w14:textId="51FEFF8F">
      <w:pPr>
        <w:pStyle w:val="FootnoteText"/>
      </w:pPr>
      <w:r>
        <w:rPr>
          <w:rStyle w:val="FootnoteReference"/>
        </w:rPr>
        <w:footnoteRef/>
      </w:r>
      <w:r>
        <w:t xml:space="preserve"> </w:t>
      </w:r>
      <w:r w:rsidR="00A27E2C">
        <w:t xml:space="preserve">Core </w:t>
      </w:r>
      <w:r w:rsidR="00AB2814">
        <w:t xml:space="preserve">NFI target is 2.9M </w:t>
      </w:r>
      <w:r w:rsidR="00A4755F">
        <w:t xml:space="preserve">and </w:t>
      </w:r>
      <w:r w:rsidR="003427B6">
        <w:t>seasonal target is 4.1M</w:t>
      </w:r>
      <w:r w:rsidR="007F1D0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F5742" w:rsidR="00EB0E50" w:rsidP="00EF5742" w:rsidRDefault="00EB0E50" w14:paraId="3719503F" w14:textId="14B00878">
    <w:pPr>
      <w:pStyle w:val="Header"/>
      <w:jc w:val="right"/>
      <w:rPr>
        <w:i/>
        <w:iCs/>
        <w:sz w:val="18"/>
        <w:szCs w:val="18"/>
      </w:rPr>
    </w:pPr>
    <w:r w:rsidRPr="00EF5742">
      <w:rPr>
        <w:i/>
        <w:iCs/>
        <w:sz w:val="18"/>
        <w:szCs w:val="18"/>
      </w:rPr>
      <w:t>OCHA ROSC, 6 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C6A"/>
    <w:multiLevelType w:val="hybridMultilevel"/>
    <w:tmpl w:val="D75ED19C"/>
    <w:lvl w:ilvl="0" w:tplc="C6C89230">
      <w:start w:val="3"/>
      <w:numFmt w:val="decimal"/>
      <w:lvlText w:val="%1."/>
      <w:lvlJc w:val="left"/>
      <w:pPr>
        <w:ind w:left="360" w:hanging="360"/>
      </w:pPr>
      <w:rPr>
        <w:rFonts w:hint="default" w:ascii="Calibri" w:hAnsi="Calibri" w:cs="Calibri"/>
        <w:b/>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97C02"/>
    <w:multiLevelType w:val="hybridMultilevel"/>
    <w:tmpl w:val="5CEADA98"/>
    <w:lvl w:ilvl="0" w:tplc="47F29A80">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C66109"/>
    <w:multiLevelType w:val="hybridMultilevel"/>
    <w:tmpl w:val="661A74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9878EF"/>
    <w:multiLevelType w:val="multilevel"/>
    <w:tmpl w:val="92C282C8"/>
    <w:lvl w:ilvl="0">
      <w:start w:val="2"/>
      <w:numFmt w:val="bullet"/>
      <w:lvlText w:val="-"/>
      <w:lvlJc w:val="left"/>
      <w:pPr>
        <w:ind w:left="360" w:hanging="360"/>
      </w:pPr>
      <w:rPr>
        <w:rFonts w:hint="default" w:ascii="Calibri" w:hAnsi="Calibri" w:cs="Calibri" w:eastAsiaTheme="minorHAnsi"/>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083A4D87"/>
    <w:multiLevelType w:val="hybridMultilevel"/>
    <w:tmpl w:val="2E98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173A6"/>
    <w:multiLevelType w:val="hybridMultilevel"/>
    <w:tmpl w:val="8F54FE42"/>
    <w:lvl w:ilvl="0" w:tplc="D4F2C5D2">
      <w:start w:val="202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D510EE1"/>
    <w:multiLevelType w:val="hybridMultilevel"/>
    <w:tmpl w:val="C80E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50B4D"/>
    <w:multiLevelType w:val="hybridMultilevel"/>
    <w:tmpl w:val="CB44A9FA"/>
    <w:lvl w:ilvl="0" w:tplc="47F29A80">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3623902"/>
    <w:multiLevelType w:val="hybridMultilevel"/>
    <w:tmpl w:val="135C008C"/>
    <w:lvl w:ilvl="0" w:tplc="4B24F5AC">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F7977"/>
    <w:multiLevelType w:val="hybridMultilevel"/>
    <w:tmpl w:val="55286B32"/>
    <w:lvl w:ilvl="0" w:tplc="A0C08552">
      <w:start w:val="202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5905A9D"/>
    <w:multiLevelType w:val="hybridMultilevel"/>
    <w:tmpl w:val="4F2A853A"/>
    <w:lvl w:ilvl="0" w:tplc="57A246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5501F8"/>
    <w:multiLevelType w:val="hybridMultilevel"/>
    <w:tmpl w:val="E94E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22331"/>
    <w:multiLevelType w:val="hybridMultilevel"/>
    <w:tmpl w:val="5E0A3798"/>
    <w:lvl w:ilvl="0" w:tplc="A0C0855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383010A"/>
    <w:multiLevelType w:val="hybridMultilevel"/>
    <w:tmpl w:val="242619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611402"/>
    <w:multiLevelType w:val="multilevel"/>
    <w:tmpl w:val="BA3C1A96"/>
    <w:lvl w:ilvl="0">
      <w:start w:val="1"/>
      <w:numFmt w:val="decimal"/>
      <w:lvlText w:val="%1."/>
      <w:lvlJc w:val="left"/>
      <w:pPr>
        <w:ind w:left="630" w:hanging="360"/>
      </w:pPr>
      <w:rPr>
        <w:rFonts w:hint="default"/>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6D673D"/>
    <w:multiLevelType w:val="hybridMultilevel"/>
    <w:tmpl w:val="B0F2C726"/>
    <w:lvl w:ilvl="0" w:tplc="47F29A80">
      <w:start w:val="2"/>
      <w:numFmt w:val="bullet"/>
      <w:lvlText w:val="-"/>
      <w:lvlJc w:val="left"/>
      <w:pPr>
        <w:ind w:left="360" w:hanging="360"/>
      </w:pPr>
      <w:rPr>
        <w:rFonts w:hint="default" w:ascii="Calibri" w:hAnsi="Calibri" w:cs="Calibri" w:eastAsiaTheme="minorHAnsi"/>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29AD1168"/>
    <w:multiLevelType w:val="hybridMultilevel"/>
    <w:tmpl w:val="ACCEC5C0"/>
    <w:lvl w:ilvl="0" w:tplc="A0C08552">
      <w:start w:val="55"/>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B12F33"/>
    <w:multiLevelType w:val="hybridMultilevel"/>
    <w:tmpl w:val="A5842A46"/>
    <w:lvl w:ilvl="0" w:tplc="51384258">
      <w:numFmt w:val="bullet"/>
      <w:lvlText w:val="-"/>
      <w:lvlJc w:val="left"/>
      <w:pPr>
        <w:ind w:left="720" w:hanging="360"/>
      </w:pPr>
      <w:rPr>
        <w:rFonts w:hint="default" w:ascii="RobotoCondensed-Light" w:hAnsi="RobotoCondensed-Light" w:cs="RobotoCondensed-Light"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BB2160E"/>
    <w:multiLevelType w:val="hybridMultilevel"/>
    <w:tmpl w:val="2E98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16D06"/>
    <w:multiLevelType w:val="hybridMultilevel"/>
    <w:tmpl w:val="81F65FD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301726A9"/>
    <w:multiLevelType w:val="hybridMultilevel"/>
    <w:tmpl w:val="96DE71B8"/>
    <w:lvl w:ilvl="0" w:tplc="D4F2C5D2">
      <w:start w:val="2020"/>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03C3A0C"/>
    <w:multiLevelType w:val="hybridMultilevel"/>
    <w:tmpl w:val="2668DB40"/>
    <w:lvl w:ilvl="0" w:tplc="012A29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1271"/>
    <w:multiLevelType w:val="hybridMultilevel"/>
    <w:tmpl w:val="C2BAF810"/>
    <w:lvl w:ilvl="0" w:tplc="65F6272A">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B10EE3"/>
    <w:multiLevelType w:val="hybridMultilevel"/>
    <w:tmpl w:val="8958903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17637"/>
    <w:multiLevelType w:val="multilevel"/>
    <w:tmpl w:val="E6A275A6"/>
    <w:lvl w:ilvl="0">
      <w:start w:val="2"/>
      <w:numFmt w:val="bullet"/>
      <w:lvlText w:val="-"/>
      <w:lvlJc w:val="left"/>
      <w:pPr>
        <w:ind w:left="360" w:hanging="360"/>
      </w:pPr>
      <w:rPr>
        <w:rFonts w:hint="default" w:ascii="Calibri" w:hAnsi="Calibri" w:cs="Calibri" w:eastAsiaTheme="minorHAnsi"/>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371617D7"/>
    <w:multiLevelType w:val="hybridMultilevel"/>
    <w:tmpl w:val="7A5810A8"/>
    <w:lvl w:ilvl="0" w:tplc="D4F2C5D2">
      <w:start w:val="202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72E1DC0"/>
    <w:multiLevelType w:val="hybridMultilevel"/>
    <w:tmpl w:val="62DCEB1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D66BB"/>
    <w:multiLevelType w:val="hybridMultilevel"/>
    <w:tmpl w:val="B1B28630"/>
    <w:lvl w:ilvl="0" w:tplc="47F29A80">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B364FDF"/>
    <w:multiLevelType w:val="hybridMultilevel"/>
    <w:tmpl w:val="D9460C78"/>
    <w:lvl w:ilvl="0" w:tplc="47F29A80">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EE81070"/>
    <w:multiLevelType w:val="hybridMultilevel"/>
    <w:tmpl w:val="3BE0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D61FC"/>
    <w:multiLevelType w:val="hybridMultilevel"/>
    <w:tmpl w:val="A208A7E6"/>
    <w:lvl w:ilvl="0" w:tplc="47F29A80">
      <w:start w:val="2"/>
      <w:numFmt w:val="bullet"/>
      <w:lvlText w:val="-"/>
      <w:lvlJc w:val="left"/>
      <w:pPr>
        <w:ind w:left="1440" w:hanging="360"/>
      </w:pPr>
      <w:rPr>
        <w:rFonts w:hint="default" w:ascii="Calibri" w:hAnsi="Calibri" w:cs="Calibri"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47D91A4D"/>
    <w:multiLevelType w:val="hybridMultilevel"/>
    <w:tmpl w:val="8EB4FE04"/>
    <w:lvl w:ilvl="0" w:tplc="A0C08552">
      <w:start w:val="55"/>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8DA1437"/>
    <w:multiLevelType w:val="hybridMultilevel"/>
    <w:tmpl w:val="99666FBA"/>
    <w:lvl w:ilvl="0" w:tplc="8CCCF388">
      <w:start w:val="3"/>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96571A1"/>
    <w:multiLevelType w:val="hybridMultilevel"/>
    <w:tmpl w:val="F7065FEE"/>
    <w:lvl w:ilvl="0" w:tplc="A16662CC">
      <w:start w:val="210"/>
      <w:numFmt w:val="bullet"/>
      <w:lvlText w:val="-"/>
      <w:lvlJc w:val="left"/>
      <w:pPr>
        <w:ind w:left="360" w:hanging="360"/>
      </w:pPr>
      <w:rPr>
        <w:rFonts w:hint="default" w:ascii="Calibri" w:hAnsi="Calibri" w:eastAsia="Calibri" w:cs="Calibri"/>
        <w:u w:val="no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4D38206B"/>
    <w:multiLevelType w:val="hybridMultilevel"/>
    <w:tmpl w:val="0BBEFC0A"/>
    <w:lvl w:ilvl="0" w:tplc="47F29A80">
      <w:start w:val="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18A6C66"/>
    <w:multiLevelType w:val="hybridMultilevel"/>
    <w:tmpl w:val="07326A3C"/>
    <w:lvl w:ilvl="0" w:tplc="A0C08552">
      <w:start w:val="55"/>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2BE0EB1"/>
    <w:multiLevelType w:val="hybridMultilevel"/>
    <w:tmpl w:val="A40CE704"/>
    <w:lvl w:ilvl="0" w:tplc="47F29A80">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3E129C0"/>
    <w:multiLevelType w:val="multilevel"/>
    <w:tmpl w:val="BA3C1A9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52114E5"/>
    <w:multiLevelType w:val="hybridMultilevel"/>
    <w:tmpl w:val="07B2761C"/>
    <w:lvl w:ilvl="0" w:tplc="47F29A80">
      <w:start w:val="4"/>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576C1DED"/>
    <w:multiLevelType w:val="multilevel"/>
    <w:tmpl w:val="7750ABC4"/>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12918"/>
    <w:multiLevelType w:val="hybridMultilevel"/>
    <w:tmpl w:val="7D52542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5C4916BD"/>
    <w:multiLevelType w:val="hybridMultilevel"/>
    <w:tmpl w:val="2ECE1B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2" w15:restartNumberingAfterBreak="0">
    <w:nsid w:val="5C696039"/>
    <w:multiLevelType w:val="multilevel"/>
    <w:tmpl w:val="574A2DF4"/>
    <w:lvl w:ilvl="0">
      <w:numFmt w:val="bullet"/>
      <w:lvlText w:val="-"/>
      <w:lvlJc w:val="left"/>
      <w:pPr>
        <w:ind w:left="360" w:hanging="360"/>
      </w:pPr>
      <w:rPr>
        <w:rFonts w:hint="default" w:ascii="Calibri" w:hAnsi="Calibri" w:eastAsia="Calibri" w:cs="Times New Roman"/>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43" w15:restartNumberingAfterBreak="0">
    <w:nsid w:val="5D635E7B"/>
    <w:multiLevelType w:val="multilevel"/>
    <w:tmpl w:val="98EE721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FBF75F9"/>
    <w:multiLevelType w:val="hybridMultilevel"/>
    <w:tmpl w:val="329CF6C8"/>
    <w:lvl w:ilvl="0" w:tplc="A30A65B4">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606B305C"/>
    <w:multiLevelType w:val="multilevel"/>
    <w:tmpl w:val="6CC40928"/>
    <w:lvl w:ilvl="0">
      <w:start w:val="1"/>
      <w:numFmt w:val="decimal"/>
      <w:lvlText w:val="%1."/>
      <w:lvlJc w:val="left"/>
      <w:pPr>
        <w:ind w:left="360" w:hanging="360"/>
      </w:pPr>
      <w:rPr>
        <w:b/>
        <w:bCs/>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3E7205"/>
    <w:multiLevelType w:val="hybridMultilevel"/>
    <w:tmpl w:val="D2800C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4E56C22"/>
    <w:multiLevelType w:val="multilevel"/>
    <w:tmpl w:val="BA3C1A96"/>
    <w:lvl w:ilvl="0">
      <w:start w:val="1"/>
      <w:numFmt w:val="decimal"/>
      <w:lvlText w:val="%1."/>
      <w:lvlJc w:val="left"/>
      <w:pPr>
        <w:ind w:left="630" w:hanging="360"/>
      </w:pPr>
      <w:rPr>
        <w:rFonts w:hint="default"/>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E7767B"/>
    <w:multiLevelType w:val="hybridMultilevel"/>
    <w:tmpl w:val="2FA88CB4"/>
    <w:lvl w:ilvl="0" w:tplc="A0C08552">
      <w:start w:val="202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83924AF"/>
    <w:multiLevelType w:val="hybridMultilevel"/>
    <w:tmpl w:val="D8108A7C"/>
    <w:lvl w:ilvl="0" w:tplc="2C7AAD82">
      <w:start w:val="34"/>
      <w:numFmt w:val="bullet"/>
      <w:lvlText w:val="-"/>
      <w:lvlJc w:val="left"/>
      <w:pPr>
        <w:ind w:left="360" w:hanging="360"/>
      </w:pPr>
      <w:rPr>
        <w:rFonts w:hint="default" w:ascii="Calibri" w:hAnsi="Calibri" w:eastAsia="Calibri" w:cs="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0" w15:restartNumberingAfterBreak="0">
    <w:nsid w:val="68CD5411"/>
    <w:multiLevelType w:val="hybridMultilevel"/>
    <w:tmpl w:val="EF705544"/>
    <w:lvl w:ilvl="0" w:tplc="A0C08552">
      <w:start w:val="55"/>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22E2A85"/>
    <w:multiLevelType w:val="multilevel"/>
    <w:tmpl w:val="B608EF3C"/>
    <w:lvl w:ilvl="0">
      <w:numFmt w:val="bullet"/>
      <w:lvlText w:val="-"/>
      <w:lvlJc w:val="left"/>
      <w:pPr>
        <w:ind w:left="360" w:hanging="360"/>
      </w:pPr>
      <w:rPr>
        <w:rFonts w:hint="default" w:ascii="Calibri" w:hAnsi="Calibri" w:eastAsia="Calibri" w:cs="Times New Roman"/>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2" w15:restartNumberingAfterBreak="0">
    <w:nsid w:val="73972ADD"/>
    <w:multiLevelType w:val="hybridMultilevel"/>
    <w:tmpl w:val="1654D990"/>
    <w:lvl w:ilvl="0" w:tplc="A0C08552">
      <w:start w:val="2020"/>
      <w:numFmt w:val="bullet"/>
      <w:lvlText w:val="-"/>
      <w:lvlJc w:val="left"/>
      <w:pPr>
        <w:ind w:left="806" w:hanging="360"/>
      </w:pPr>
      <w:rPr>
        <w:rFonts w:hint="default" w:ascii="Calibri" w:hAnsi="Calibri" w:cs="Calibri" w:eastAsiaTheme="minorHAnsi"/>
      </w:rPr>
    </w:lvl>
    <w:lvl w:ilvl="1" w:tplc="04090003" w:tentative="1">
      <w:start w:val="1"/>
      <w:numFmt w:val="bullet"/>
      <w:lvlText w:val="o"/>
      <w:lvlJc w:val="left"/>
      <w:pPr>
        <w:ind w:left="1526" w:hanging="360"/>
      </w:pPr>
      <w:rPr>
        <w:rFonts w:hint="default" w:ascii="Courier New" w:hAnsi="Courier New" w:cs="Courier New"/>
      </w:rPr>
    </w:lvl>
    <w:lvl w:ilvl="2" w:tplc="04090005" w:tentative="1">
      <w:start w:val="1"/>
      <w:numFmt w:val="bullet"/>
      <w:lvlText w:val=""/>
      <w:lvlJc w:val="left"/>
      <w:pPr>
        <w:ind w:left="2246" w:hanging="360"/>
      </w:pPr>
      <w:rPr>
        <w:rFonts w:hint="default" w:ascii="Wingdings" w:hAnsi="Wingdings"/>
      </w:rPr>
    </w:lvl>
    <w:lvl w:ilvl="3" w:tplc="04090001" w:tentative="1">
      <w:start w:val="1"/>
      <w:numFmt w:val="bullet"/>
      <w:lvlText w:val=""/>
      <w:lvlJc w:val="left"/>
      <w:pPr>
        <w:ind w:left="2966" w:hanging="360"/>
      </w:pPr>
      <w:rPr>
        <w:rFonts w:hint="default" w:ascii="Symbol" w:hAnsi="Symbol"/>
      </w:rPr>
    </w:lvl>
    <w:lvl w:ilvl="4" w:tplc="04090003" w:tentative="1">
      <w:start w:val="1"/>
      <w:numFmt w:val="bullet"/>
      <w:lvlText w:val="o"/>
      <w:lvlJc w:val="left"/>
      <w:pPr>
        <w:ind w:left="3686" w:hanging="360"/>
      </w:pPr>
      <w:rPr>
        <w:rFonts w:hint="default" w:ascii="Courier New" w:hAnsi="Courier New" w:cs="Courier New"/>
      </w:rPr>
    </w:lvl>
    <w:lvl w:ilvl="5" w:tplc="04090005" w:tentative="1">
      <w:start w:val="1"/>
      <w:numFmt w:val="bullet"/>
      <w:lvlText w:val=""/>
      <w:lvlJc w:val="left"/>
      <w:pPr>
        <w:ind w:left="4406" w:hanging="360"/>
      </w:pPr>
      <w:rPr>
        <w:rFonts w:hint="default" w:ascii="Wingdings" w:hAnsi="Wingdings"/>
      </w:rPr>
    </w:lvl>
    <w:lvl w:ilvl="6" w:tplc="04090001" w:tentative="1">
      <w:start w:val="1"/>
      <w:numFmt w:val="bullet"/>
      <w:lvlText w:val=""/>
      <w:lvlJc w:val="left"/>
      <w:pPr>
        <w:ind w:left="5126" w:hanging="360"/>
      </w:pPr>
      <w:rPr>
        <w:rFonts w:hint="default" w:ascii="Symbol" w:hAnsi="Symbol"/>
      </w:rPr>
    </w:lvl>
    <w:lvl w:ilvl="7" w:tplc="04090003" w:tentative="1">
      <w:start w:val="1"/>
      <w:numFmt w:val="bullet"/>
      <w:lvlText w:val="o"/>
      <w:lvlJc w:val="left"/>
      <w:pPr>
        <w:ind w:left="5846" w:hanging="360"/>
      </w:pPr>
      <w:rPr>
        <w:rFonts w:hint="default" w:ascii="Courier New" w:hAnsi="Courier New" w:cs="Courier New"/>
      </w:rPr>
    </w:lvl>
    <w:lvl w:ilvl="8" w:tplc="04090005" w:tentative="1">
      <w:start w:val="1"/>
      <w:numFmt w:val="bullet"/>
      <w:lvlText w:val=""/>
      <w:lvlJc w:val="left"/>
      <w:pPr>
        <w:ind w:left="6566" w:hanging="360"/>
      </w:pPr>
      <w:rPr>
        <w:rFonts w:hint="default" w:ascii="Wingdings" w:hAnsi="Wingdings"/>
      </w:rPr>
    </w:lvl>
  </w:abstractNum>
  <w:abstractNum w:abstractNumId="53" w15:restartNumberingAfterBreak="0">
    <w:nsid w:val="73ED0935"/>
    <w:multiLevelType w:val="hybridMultilevel"/>
    <w:tmpl w:val="EBE40F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783B4D9F"/>
    <w:multiLevelType w:val="multilevel"/>
    <w:tmpl w:val="574A2DF4"/>
    <w:lvl w:ilvl="0">
      <w:numFmt w:val="bullet"/>
      <w:lvlText w:val="-"/>
      <w:lvlJc w:val="left"/>
      <w:pPr>
        <w:ind w:left="360" w:hanging="360"/>
      </w:pPr>
      <w:rPr>
        <w:rFonts w:hint="default" w:ascii="Calibri" w:hAnsi="Calibri" w:eastAsia="Calibri" w:cs="Times New Roman"/>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5" w15:restartNumberingAfterBreak="0">
    <w:nsid w:val="7B717E16"/>
    <w:multiLevelType w:val="hybridMultilevel"/>
    <w:tmpl w:val="27A8BCDA"/>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6" w15:restartNumberingAfterBreak="0">
    <w:nsid w:val="7C330479"/>
    <w:multiLevelType w:val="hybridMultilevel"/>
    <w:tmpl w:val="BDB6A30E"/>
    <w:lvl w:ilvl="0" w:tplc="0409000F">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9"/>
  </w:num>
  <w:num w:numId="2">
    <w:abstractNumId w:val="46"/>
  </w:num>
  <w:num w:numId="3">
    <w:abstractNumId w:val="41"/>
  </w:num>
  <w:num w:numId="4">
    <w:abstractNumId w:val="55"/>
  </w:num>
  <w:num w:numId="5">
    <w:abstractNumId w:val="48"/>
  </w:num>
  <w:num w:numId="6">
    <w:abstractNumId w:val="5"/>
  </w:num>
  <w:num w:numId="7">
    <w:abstractNumId w:val="25"/>
  </w:num>
  <w:num w:numId="8">
    <w:abstractNumId w:val="20"/>
  </w:num>
  <w:num w:numId="9">
    <w:abstractNumId w:val="53"/>
  </w:num>
  <w:num w:numId="10">
    <w:abstractNumId w:val="40"/>
  </w:num>
  <w:num w:numId="11">
    <w:abstractNumId w:val="37"/>
  </w:num>
  <w:num w:numId="12">
    <w:abstractNumId w:val="2"/>
  </w:num>
  <w:num w:numId="13">
    <w:abstractNumId w:val="34"/>
  </w:num>
  <w:num w:numId="14">
    <w:abstractNumId w:val="15"/>
  </w:num>
  <w:num w:numId="15">
    <w:abstractNumId w:val="17"/>
  </w:num>
  <w:num w:numId="16">
    <w:abstractNumId w:val="11"/>
  </w:num>
  <w:num w:numId="17">
    <w:abstractNumId w:val="39"/>
  </w:num>
  <w:num w:numId="18">
    <w:abstractNumId w:val="0"/>
  </w:num>
  <w:num w:numId="19">
    <w:abstractNumId w:val="49"/>
  </w:num>
  <w:num w:numId="20">
    <w:abstractNumId w:val="3"/>
  </w:num>
  <w:num w:numId="21">
    <w:abstractNumId w:val="24"/>
  </w:num>
  <w:num w:numId="22">
    <w:abstractNumId w:val="1"/>
  </w:num>
  <w:num w:numId="23">
    <w:abstractNumId w:val="6"/>
  </w:num>
  <w:num w:numId="24">
    <w:abstractNumId w:val="27"/>
  </w:num>
  <w:num w:numId="25">
    <w:abstractNumId w:val="44"/>
  </w:num>
  <w:num w:numId="26">
    <w:abstractNumId w:val="18"/>
  </w:num>
  <w:num w:numId="27">
    <w:abstractNumId w:val="26"/>
  </w:num>
  <w:num w:numId="28">
    <w:abstractNumId w:val="32"/>
  </w:num>
  <w:num w:numId="29">
    <w:abstractNumId w:val="29"/>
  </w:num>
  <w:num w:numId="30">
    <w:abstractNumId w:val="21"/>
  </w:num>
  <w:num w:numId="31">
    <w:abstractNumId w:val="22"/>
  </w:num>
  <w:num w:numId="32">
    <w:abstractNumId w:val="10"/>
  </w:num>
  <w:num w:numId="33">
    <w:abstractNumId w:val="7"/>
  </w:num>
  <w:num w:numId="34">
    <w:abstractNumId w:val="43"/>
  </w:num>
  <w:num w:numId="35">
    <w:abstractNumId w:val="38"/>
  </w:num>
  <w:num w:numId="36">
    <w:abstractNumId w:val="47"/>
  </w:num>
  <w:num w:numId="37">
    <w:abstractNumId w:val="45"/>
  </w:num>
  <w:num w:numId="38">
    <w:abstractNumId w:val="42"/>
  </w:num>
  <w:num w:numId="39">
    <w:abstractNumId w:val="54"/>
  </w:num>
  <w:num w:numId="40">
    <w:abstractNumId w:val="51"/>
  </w:num>
  <w:num w:numId="41">
    <w:abstractNumId w:val="33"/>
  </w:num>
  <w:num w:numId="42">
    <w:abstractNumId w:val="28"/>
  </w:num>
  <w:num w:numId="43">
    <w:abstractNumId w:val="23"/>
  </w:num>
  <w:num w:numId="44">
    <w:abstractNumId w:val="56"/>
  </w:num>
  <w:num w:numId="45">
    <w:abstractNumId w:val="36"/>
  </w:num>
  <w:num w:numId="46">
    <w:abstractNumId w:val="14"/>
  </w:num>
  <w:num w:numId="47">
    <w:abstractNumId w:val="4"/>
  </w:num>
  <w:num w:numId="48">
    <w:abstractNumId w:val="8"/>
  </w:num>
  <w:num w:numId="49">
    <w:abstractNumId w:val="52"/>
  </w:num>
  <w:num w:numId="50">
    <w:abstractNumId w:val="50"/>
  </w:num>
  <w:num w:numId="51">
    <w:abstractNumId w:val="16"/>
  </w:num>
  <w:num w:numId="52">
    <w:abstractNumId w:val="35"/>
  </w:num>
  <w:num w:numId="53">
    <w:abstractNumId w:val="31"/>
  </w:num>
  <w:num w:numId="54">
    <w:abstractNumId w:val="9"/>
  </w:num>
  <w:num w:numId="55">
    <w:abstractNumId w:val="12"/>
  </w:num>
  <w:num w:numId="56">
    <w:abstractNumId w:val="13"/>
  </w:num>
  <w:num w:numId="57">
    <w:abstractNumId w:val="30"/>
  </w:num>
  <w:numIdMacAtCleanup w:val="5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14"/>
    <w:rsid w:val="0000034E"/>
    <w:rsid w:val="00002A7D"/>
    <w:rsid w:val="00003D4C"/>
    <w:rsid w:val="00003F7A"/>
    <w:rsid w:val="000078E6"/>
    <w:rsid w:val="00012D84"/>
    <w:rsid w:val="00012E84"/>
    <w:rsid w:val="00013530"/>
    <w:rsid w:val="00025C61"/>
    <w:rsid w:val="0002761E"/>
    <w:rsid w:val="00030582"/>
    <w:rsid w:val="0003099D"/>
    <w:rsid w:val="00031804"/>
    <w:rsid w:val="000353B3"/>
    <w:rsid w:val="000355D3"/>
    <w:rsid w:val="00036130"/>
    <w:rsid w:val="00036AF9"/>
    <w:rsid w:val="00037DBC"/>
    <w:rsid w:val="00042C1E"/>
    <w:rsid w:val="00043AA7"/>
    <w:rsid w:val="00043B02"/>
    <w:rsid w:val="00043DC9"/>
    <w:rsid w:val="000470DA"/>
    <w:rsid w:val="00051DE3"/>
    <w:rsid w:val="000520A0"/>
    <w:rsid w:val="00052906"/>
    <w:rsid w:val="00053F5E"/>
    <w:rsid w:val="000546D5"/>
    <w:rsid w:val="00055035"/>
    <w:rsid w:val="0005573C"/>
    <w:rsid w:val="00056CF1"/>
    <w:rsid w:val="00057394"/>
    <w:rsid w:val="00057908"/>
    <w:rsid w:val="00060154"/>
    <w:rsid w:val="00061BD8"/>
    <w:rsid w:val="00063742"/>
    <w:rsid w:val="000640F9"/>
    <w:rsid w:val="00071C8D"/>
    <w:rsid w:val="00075023"/>
    <w:rsid w:val="00077E52"/>
    <w:rsid w:val="0008057D"/>
    <w:rsid w:val="00084617"/>
    <w:rsid w:val="000863DB"/>
    <w:rsid w:val="00086736"/>
    <w:rsid w:val="00087FB1"/>
    <w:rsid w:val="00090467"/>
    <w:rsid w:val="00096CEE"/>
    <w:rsid w:val="00096D71"/>
    <w:rsid w:val="00097632"/>
    <w:rsid w:val="000A0304"/>
    <w:rsid w:val="000A0383"/>
    <w:rsid w:val="000A04D7"/>
    <w:rsid w:val="000A1EB0"/>
    <w:rsid w:val="000A458C"/>
    <w:rsid w:val="000B08E5"/>
    <w:rsid w:val="000B1BA0"/>
    <w:rsid w:val="000B3205"/>
    <w:rsid w:val="000B713A"/>
    <w:rsid w:val="000B7705"/>
    <w:rsid w:val="000B7DC1"/>
    <w:rsid w:val="000C002B"/>
    <w:rsid w:val="000C0950"/>
    <w:rsid w:val="000C24A6"/>
    <w:rsid w:val="000C4CCC"/>
    <w:rsid w:val="000C5C20"/>
    <w:rsid w:val="000C705E"/>
    <w:rsid w:val="000D004C"/>
    <w:rsid w:val="000D07FC"/>
    <w:rsid w:val="000D131B"/>
    <w:rsid w:val="000D152C"/>
    <w:rsid w:val="000D2017"/>
    <w:rsid w:val="000D2E0A"/>
    <w:rsid w:val="000D5F13"/>
    <w:rsid w:val="000D6D66"/>
    <w:rsid w:val="000D7FF1"/>
    <w:rsid w:val="000E3D10"/>
    <w:rsid w:val="000E4CC7"/>
    <w:rsid w:val="000F1A3E"/>
    <w:rsid w:val="000F36FD"/>
    <w:rsid w:val="000F48E7"/>
    <w:rsid w:val="000F4D28"/>
    <w:rsid w:val="000F5320"/>
    <w:rsid w:val="000F62BE"/>
    <w:rsid w:val="000F6497"/>
    <w:rsid w:val="000F77A6"/>
    <w:rsid w:val="00100759"/>
    <w:rsid w:val="001022A8"/>
    <w:rsid w:val="00103EB8"/>
    <w:rsid w:val="00104A9B"/>
    <w:rsid w:val="001064BD"/>
    <w:rsid w:val="001070D6"/>
    <w:rsid w:val="001075A2"/>
    <w:rsid w:val="001076DA"/>
    <w:rsid w:val="00111185"/>
    <w:rsid w:val="00112587"/>
    <w:rsid w:val="00113B4A"/>
    <w:rsid w:val="00114CAA"/>
    <w:rsid w:val="00115F90"/>
    <w:rsid w:val="001216D5"/>
    <w:rsid w:val="00121CD7"/>
    <w:rsid w:val="00121F32"/>
    <w:rsid w:val="00123A68"/>
    <w:rsid w:val="00124F28"/>
    <w:rsid w:val="00125817"/>
    <w:rsid w:val="00127124"/>
    <w:rsid w:val="00132C57"/>
    <w:rsid w:val="00132ED9"/>
    <w:rsid w:val="001333A7"/>
    <w:rsid w:val="001349EC"/>
    <w:rsid w:val="00135BA4"/>
    <w:rsid w:val="00145C2B"/>
    <w:rsid w:val="001468A0"/>
    <w:rsid w:val="00151191"/>
    <w:rsid w:val="0015120A"/>
    <w:rsid w:val="00151A3D"/>
    <w:rsid w:val="00152662"/>
    <w:rsid w:val="00153515"/>
    <w:rsid w:val="001621FF"/>
    <w:rsid w:val="00163105"/>
    <w:rsid w:val="00165397"/>
    <w:rsid w:val="00170B0D"/>
    <w:rsid w:val="00170F0C"/>
    <w:rsid w:val="00170FCC"/>
    <w:rsid w:val="00174085"/>
    <w:rsid w:val="0017641A"/>
    <w:rsid w:val="001770B9"/>
    <w:rsid w:val="00177455"/>
    <w:rsid w:val="00182ADC"/>
    <w:rsid w:val="00184AAA"/>
    <w:rsid w:val="00186470"/>
    <w:rsid w:val="00187138"/>
    <w:rsid w:val="00191635"/>
    <w:rsid w:val="00191CB2"/>
    <w:rsid w:val="0019465A"/>
    <w:rsid w:val="00194D2C"/>
    <w:rsid w:val="0019614D"/>
    <w:rsid w:val="0019769A"/>
    <w:rsid w:val="001A38A4"/>
    <w:rsid w:val="001A5124"/>
    <w:rsid w:val="001A63CC"/>
    <w:rsid w:val="001A66F2"/>
    <w:rsid w:val="001B6A27"/>
    <w:rsid w:val="001B7DEE"/>
    <w:rsid w:val="001C2296"/>
    <w:rsid w:val="001C3560"/>
    <w:rsid w:val="001C41C4"/>
    <w:rsid w:val="001C5692"/>
    <w:rsid w:val="001C5A64"/>
    <w:rsid w:val="001C6618"/>
    <w:rsid w:val="001C6F3C"/>
    <w:rsid w:val="001C6F6B"/>
    <w:rsid w:val="001D0ABC"/>
    <w:rsid w:val="001D2F48"/>
    <w:rsid w:val="001D3380"/>
    <w:rsid w:val="001D3B1D"/>
    <w:rsid w:val="001D5756"/>
    <w:rsid w:val="001D7B55"/>
    <w:rsid w:val="001E1EC6"/>
    <w:rsid w:val="001E3187"/>
    <w:rsid w:val="001E47F4"/>
    <w:rsid w:val="001E74F4"/>
    <w:rsid w:val="001F0DBA"/>
    <w:rsid w:val="001F4048"/>
    <w:rsid w:val="001F55B5"/>
    <w:rsid w:val="001F5C93"/>
    <w:rsid w:val="001F67B3"/>
    <w:rsid w:val="00200BC1"/>
    <w:rsid w:val="002011BA"/>
    <w:rsid w:val="0020322F"/>
    <w:rsid w:val="00203C37"/>
    <w:rsid w:val="00203F91"/>
    <w:rsid w:val="00205485"/>
    <w:rsid w:val="002070D5"/>
    <w:rsid w:val="00207192"/>
    <w:rsid w:val="00207311"/>
    <w:rsid w:val="00210B1C"/>
    <w:rsid w:val="002110ED"/>
    <w:rsid w:val="00211459"/>
    <w:rsid w:val="002132DB"/>
    <w:rsid w:val="00213ABA"/>
    <w:rsid w:val="00214A99"/>
    <w:rsid w:val="00216E7B"/>
    <w:rsid w:val="0021785F"/>
    <w:rsid w:val="0022087F"/>
    <w:rsid w:val="00230657"/>
    <w:rsid w:val="002306B7"/>
    <w:rsid w:val="00231127"/>
    <w:rsid w:val="00235782"/>
    <w:rsid w:val="00236F74"/>
    <w:rsid w:val="00242E4F"/>
    <w:rsid w:val="00250AFC"/>
    <w:rsid w:val="002521FF"/>
    <w:rsid w:val="00252446"/>
    <w:rsid w:val="0025510F"/>
    <w:rsid w:val="0025531E"/>
    <w:rsid w:val="00255784"/>
    <w:rsid w:val="002559F6"/>
    <w:rsid w:val="00256360"/>
    <w:rsid w:val="00257013"/>
    <w:rsid w:val="002570D2"/>
    <w:rsid w:val="00257815"/>
    <w:rsid w:val="002623D3"/>
    <w:rsid w:val="00264BCD"/>
    <w:rsid w:val="002658B2"/>
    <w:rsid w:val="00265CF3"/>
    <w:rsid w:val="00267A4C"/>
    <w:rsid w:val="002705B2"/>
    <w:rsid w:val="0027078F"/>
    <w:rsid w:val="0027144E"/>
    <w:rsid w:val="002717E3"/>
    <w:rsid w:val="002728A1"/>
    <w:rsid w:val="00275468"/>
    <w:rsid w:val="002824F1"/>
    <w:rsid w:val="002830B1"/>
    <w:rsid w:val="00284B0C"/>
    <w:rsid w:val="00285226"/>
    <w:rsid w:val="002856E3"/>
    <w:rsid w:val="00285AD1"/>
    <w:rsid w:val="00285B49"/>
    <w:rsid w:val="00286B77"/>
    <w:rsid w:val="00286ED6"/>
    <w:rsid w:val="00287AA6"/>
    <w:rsid w:val="00290D26"/>
    <w:rsid w:val="002922D2"/>
    <w:rsid w:val="002934C2"/>
    <w:rsid w:val="00294D76"/>
    <w:rsid w:val="00294FD6"/>
    <w:rsid w:val="00295EE0"/>
    <w:rsid w:val="002A1948"/>
    <w:rsid w:val="002A7E8E"/>
    <w:rsid w:val="002B0882"/>
    <w:rsid w:val="002B2623"/>
    <w:rsid w:val="002B38BA"/>
    <w:rsid w:val="002B451D"/>
    <w:rsid w:val="002C0B14"/>
    <w:rsid w:val="002C17A0"/>
    <w:rsid w:val="002C1F3A"/>
    <w:rsid w:val="002C449C"/>
    <w:rsid w:val="002C633A"/>
    <w:rsid w:val="002D0879"/>
    <w:rsid w:val="002D1575"/>
    <w:rsid w:val="002D438B"/>
    <w:rsid w:val="002D6972"/>
    <w:rsid w:val="002E0F63"/>
    <w:rsid w:val="002E2336"/>
    <w:rsid w:val="002E34E8"/>
    <w:rsid w:val="002E4194"/>
    <w:rsid w:val="002F0C8C"/>
    <w:rsid w:val="002F1081"/>
    <w:rsid w:val="002F3AF3"/>
    <w:rsid w:val="002F717B"/>
    <w:rsid w:val="00300B46"/>
    <w:rsid w:val="00300C53"/>
    <w:rsid w:val="00306016"/>
    <w:rsid w:val="00306E1C"/>
    <w:rsid w:val="00313C81"/>
    <w:rsid w:val="00315CF7"/>
    <w:rsid w:val="00320223"/>
    <w:rsid w:val="00325B90"/>
    <w:rsid w:val="00325D20"/>
    <w:rsid w:val="00330E74"/>
    <w:rsid w:val="00332B00"/>
    <w:rsid w:val="00332FC0"/>
    <w:rsid w:val="00335139"/>
    <w:rsid w:val="00335AB0"/>
    <w:rsid w:val="0033627A"/>
    <w:rsid w:val="0033682E"/>
    <w:rsid w:val="00337E0C"/>
    <w:rsid w:val="00340261"/>
    <w:rsid w:val="0034065A"/>
    <w:rsid w:val="00340CAE"/>
    <w:rsid w:val="00340D37"/>
    <w:rsid w:val="00341E3A"/>
    <w:rsid w:val="0034204B"/>
    <w:rsid w:val="003427B6"/>
    <w:rsid w:val="00343860"/>
    <w:rsid w:val="00344398"/>
    <w:rsid w:val="00344FAB"/>
    <w:rsid w:val="00345BCB"/>
    <w:rsid w:val="00346F4A"/>
    <w:rsid w:val="00347720"/>
    <w:rsid w:val="00347FE5"/>
    <w:rsid w:val="003531E0"/>
    <w:rsid w:val="00355EAE"/>
    <w:rsid w:val="00356B80"/>
    <w:rsid w:val="00362043"/>
    <w:rsid w:val="00363878"/>
    <w:rsid w:val="00366478"/>
    <w:rsid w:val="0036793B"/>
    <w:rsid w:val="00367E1D"/>
    <w:rsid w:val="00372353"/>
    <w:rsid w:val="003730A0"/>
    <w:rsid w:val="0037315D"/>
    <w:rsid w:val="003750C5"/>
    <w:rsid w:val="00376DE0"/>
    <w:rsid w:val="003812D6"/>
    <w:rsid w:val="0038498E"/>
    <w:rsid w:val="00385A67"/>
    <w:rsid w:val="003866D4"/>
    <w:rsid w:val="00387CD7"/>
    <w:rsid w:val="003A0A05"/>
    <w:rsid w:val="003A0BCC"/>
    <w:rsid w:val="003A1BA0"/>
    <w:rsid w:val="003A253C"/>
    <w:rsid w:val="003A5CD5"/>
    <w:rsid w:val="003B1BED"/>
    <w:rsid w:val="003B29E6"/>
    <w:rsid w:val="003B3E58"/>
    <w:rsid w:val="003B7B34"/>
    <w:rsid w:val="003C2047"/>
    <w:rsid w:val="003C2470"/>
    <w:rsid w:val="003C3FF5"/>
    <w:rsid w:val="003C4EF2"/>
    <w:rsid w:val="003C5072"/>
    <w:rsid w:val="003C677D"/>
    <w:rsid w:val="003C6D86"/>
    <w:rsid w:val="003C6D95"/>
    <w:rsid w:val="003C7835"/>
    <w:rsid w:val="003D1210"/>
    <w:rsid w:val="003D2C5B"/>
    <w:rsid w:val="003D5F87"/>
    <w:rsid w:val="003D60DC"/>
    <w:rsid w:val="003D64D3"/>
    <w:rsid w:val="003D691A"/>
    <w:rsid w:val="003E1629"/>
    <w:rsid w:val="003E4038"/>
    <w:rsid w:val="003E52FF"/>
    <w:rsid w:val="003E71A0"/>
    <w:rsid w:val="003E72EC"/>
    <w:rsid w:val="003E7A26"/>
    <w:rsid w:val="003F00E7"/>
    <w:rsid w:val="003F1057"/>
    <w:rsid w:val="003F2781"/>
    <w:rsid w:val="003F2ECE"/>
    <w:rsid w:val="003F51A7"/>
    <w:rsid w:val="0040133F"/>
    <w:rsid w:val="004020D9"/>
    <w:rsid w:val="0040774D"/>
    <w:rsid w:val="004106FB"/>
    <w:rsid w:val="00410A9D"/>
    <w:rsid w:val="004122FC"/>
    <w:rsid w:val="00421DF7"/>
    <w:rsid w:val="00423118"/>
    <w:rsid w:val="0042474C"/>
    <w:rsid w:val="00424B3E"/>
    <w:rsid w:val="00425EE7"/>
    <w:rsid w:val="0042610F"/>
    <w:rsid w:val="004308A2"/>
    <w:rsid w:val="00433BDC"/>
    <w:rsid w:val="00434DDA"/>
    <w:rsid w:val="004354A8"/>
    <w:rsid w:val="00440E37"/>
    <w:rsid w:val="0044254B"/>
    <w:rsid w:val="00445F97"/>
    <w:rsid w:val="004467A3"/>
    <w:rsid w:val="004500C0"/>
    <w:rsid w:val="00453F84"/>
    <w:rsid w:val="00454AA6"/>
    <w:rsid w:val="00455562"/>
    <w:rsid w:val="00457DDC"/>
    <w:rsid w:val="0046052B"/>
    <w:rsid w:val="00461EF4"/>
    <w:rsid w:val="004625AA"/>
    <w:rsid w:val="004627AE"/>
    <w:rsid w:val="00464952"/>
    <w:rsid w:val="004659F7"/>
    <w:rsid w:val="00465DF7"/>
    <w:rsid w:val="00466AFB"/>
    <w:rsid w:val="00466FCB"/>
    <w:rsid w:val="00467437"/>
    <w:rsid w:val="00470EFD"/>
    <w:rsid w:val="004765B6"/>
    <w:rsid w:val="00477D0C"/>
    <w:rsid w:val="00477DF5"/>
    <w:rsid w:val="00481FEC"/>
    <w:rsid w:val="0048364C"/>
    <w:rsid w:val="004844B2"/>
    <w:rsid w:val="00484EE0"/>
    <w:rsid w:val="00484F59"/>
    <w:rsid w:val="004862A4"/>
    <w:rsid w:val="004874A4"/>
    <w:rsid w:val="00487C6B"/>
    <w:rsid w:val="00490F69"/>
    <w:rsid w:val="00491EF7"/>
    <w:rsid w:val="00493CEF"/>
    <w:rsid w:val="00495BE0"/>
    <w:rsid w:val="0049655C"/>
    <w:rsid w:val="004A03ED"/>
    <w:rsid w:val="004A0647"/>
    <w:rsid w:val="004A15C9"/>
    <w:rsid w:val="004A185A"/>
    <w:rsid w:val="004A1A2F"/>
    <w:rsid w:val="004A61D8"/>
    <w:rsid w:val="004B0905"/>
    <w:rsid w:val="004B14F7"/>
    <w:rsid w:val="004B43B6"/>
    <w:rsid w:val="004B4EBD"/>
    <w:rsid w:val="004C1826"/>
    <w:rsid w:val="004C3E6E"/>
    <w:rsid w:val="004C4E69"/>
    <w:rsid w:val="004C4EB3"/>
    <w:rsid w:val="004C69E0"/>
    <w:rsid w:val="004C745F"/>
    <w:rsid w:val="004D1344"/>
    <w:rsid w:val="004D547D"/>
    <w:rsid w:val="004D5B57"/>
    <w:rsid w:val="004D5FD0"/>
    <w:rsid w:val="004D65D5"/>
    <w:rsid w:val="004D7B93"/>
    <w:rsid w:val="004E0922"/>
    <w:rsid w:val="004E1DB9"/>
    <w:rsid w:val="004E20FA"/>
    <w:rsid w:val="004E276D"/>
    <w:rsid w:val="004E3019"/>
    <w:rsid w:val="004E4646"/>
    <w:rsid w:val="004E46FC"/>
    <w:rsid w:val="004E6469"/>
    <w:rsid w:val="004E67D8"/>
    <w:rsid w:val="004E79AB"/>
    <w:rsid w:val="004F2EB6"/>
    <w:rsid w:val="004F48CD"/>
    <w:rsid w:val="004F7007"/>
    <w:rsid w:val="00502B8B"/>
    <w:rsid w:val="0050331E"/>
    <w:rsid w:val="005039EC"/>
    <w:rsid w:val="00506C79"/>
    <w:rsid w:val="00506FEF"/>
    <w:rsid w:val="00507CAB"/>
    <w:rsid w:val="00510E75"/>
    <w:rsid w:val="00514D27"/>
    <w:rsid w:val="00515B57"/>
    <w:rsid w:val="00515FA3"/>
    <w:rsid w:val="005172D2"/>
    <w:rsid w:val="00517C28"/>
    <w:rsid w:val="00520D3D"/>
    <w:rsid w:val="0052511B"/>
    <w:rsid w:val="00526C00"/>
    <w:rsid w:val="00526D31"/>
    <w:rsid w:val="0053011F"/>
    <w:rsid w:val="005306B3"/>
    <w:rsid w:val="00530BCC"/>
    <w:rsid w:val="00531564"/>
    <w:rsid w:val="00533E3F"/>
    <w:rsid w:val="005353AC"/>
    <w:rsid w:val="00536D6E"/>
    <w:rsid w:val="00536D82"/>
    <w:rsid w:val="005407EB"/>
    <w:rsid w:val="00540F31"/>
    <w:rsid w:val="005411EB"/>
    <w:rsid w:val="005413CC"/>
    <w:rsid w:val="00541DC2"/>
    <w:rsid w:val="00543DDD"/>
    <w:rsid w:val="00546A98"/>
    <w:rsid w:val="00546B44"/>
    <w:rsid w:val="005470F1"/>
    <w:rsid w:val="005501B8"/>
    <w:rsid w:val="00553820"/>
    <w:rsid w:val="0055416D"/>
    <w:rsid w:val="00554985"/>
    <w:rsid w:val="0055537C"/>
    <w:rsid w:val="00555F8B"/>
    <w:rsid w:val="00562A84"/>
    <w:rsid w:val="00564695"/>
    <w:rsid w:val="005650D9"/>
    <w:rsid w:val="00565C5E"/>
    <w:rsid w:val="005725C8"/>
    <w:rsid w:val="00574667"/>
    <w:rsid w:val="005750E0"/>
    <w:rsid w:val="005755AB"/>
    <w:rsid w:val="00575841"/>
    <w:rsid w:val="0057727C"/>
    <w:rsid w:val="00581B5A"/>
    <w:rsid w:val="005830C5"/>
    <w:rsid w:val="00587251"/>
    <w:rsid w:val="0058737E"/>
    <w:rsid w:val="00587DF8"/>
    <w:rsid w:val="00590744"/>
    <w:rsid w:val="005967D8"/>
    <w:rsid w:val="005A0EBD"/>
    <w:rsid w:val="005A242E"/>
    <w:rsid w:val="005A410C"/>
    <w:rsid w:val="005A51A4"/>
    <w:rsid w:val="005A6B97"/>
    <w:rsid w:val="005B048C"/>
    <w:rsid w:val="005B05CA"/>
    <w:rsid w:val="005B0B17"/>
    <w:rsid w:val="005B45AD"/>
    <w:rsid w:val="005B68DF"/>
    <w:rsid w:val="005B7620"/>
    <w:rsid w:val="005B7C45"/>
    <w:rsid w:val="005C005F"/>
    <w:rsid w:val="005C0CF7"/>
    <w:rsid w:val="005C2096"/>
    <w:rsid w:val="005C22F1"/>
    <w:rsid w:val="005C2CDE"/>
    <w:rsid w:val="005C3EF4"/>
    <w:rsid w:val="005C56CF"/>
    <w:rsid w:val="005C5A1F"/>
    <w:rsid w:val="005D0098"/>
    <w:rsid w:val="005D1C1F"/>
    <w:rsid w:val="005D4711"/>
    <w:rsid w:val="005D68CB"/>
    <w:rsid w:val="005D79FA"/>
    <w:rsid w:val="005E04FE"/>
    <w:rsid w:val="005E5D84"/>
    <w:rsid w:val="005F1BDE"/>
    <w:rsid w:val="005F26B5"/>
    <w:rsid w:val="005F425F"/>
    <w:rsid w:val="005F4CC8"/>
    <w:rsid w:val="005F6310"/>
    <w:rsid w:val="00601939"/>
    <w:rsid w:val="00601F54"/>
    <w:rsid w:val="006027A6"/>
    <w:rsid w:val="006055F7"/>
    <w:rsid w:val="00606E69"/>
    <w:rsid w:val="00607B79"/>
    <w:rsid w:val="00607C84"/>
    <w:rsid w:val="00610819"/>
    <w:rsid w:val="00612F5E"/>
    <w:rsid w:val="00614C03"/>
    <w:rsid w:val="00615462"/>
    <w:rsid w:val="0062045C"/>
    <w:rsid w:val="00620E5F"/>
    <w:rsid w:val="006215F3"/>
    <w:rsid w:val="00621E73"/>
    <w:rsid w:val="00623605"/>
    <w:rsid w:val="00627756"/>
    <w:rsid w:val="00633F8A"/>
    <w:rsid w:val="006365E0"/>
    <w:rsid w:val="00637F96"/>
    <w:rsid w:val="006403CD"/>
    <w:rsid w:val="0064102F"/>
    <w:rsid w:val="00643CE1"/>
    <w:rsid w:val="006440D1"/>
    <w:rsid w:val="00646368"/>
    <w:rsid w:val="00647886"/>
    <w:rsid w:val="00650129"/>
    <w:rsid w:val="006537FD"/>
    <w:rsid w:val="006553A4"/>
    <w:rsid w:val="006560A9"/>
    <w:rsid w:val="006569DD"/>
    <w:rsid w:val="00656EE1"/>
    <w:rsid w:val="00657972"/>
    <w:rsid w:val="00657E4D"/>
    <w:rsid w:val="0066490E"/>
    <w:rsid w:val="00664AC3"/>
    <w:rsid w:val="0066601A"/>
    <w:rsid w:val="00666974"/>
    <w:rsid w:val="00666994"/>
    <w:rsid w:val="00667515"/>
    <w:rsid w:val="00667795"/>
    <w:rsid w:val="0067074F"/>
    <w:rsid w:val="00675044"/>
    <w:rsid w:val="0067673A"/>
    <w:rsid w:val="006772DA"/>
    <w:rsid w:val="006800B3"/>
    <w:rsid w:val="006859A5"/>
    <w:rsid w:val="00685CD1"/>
    <w:rsid w:val="00686B54"/>
    <w:rsid w:val="00693B15"/>
    <w:rsid w:val="00694049"/>
    <w:rsid w:val="006957A0"/>
    <w:rsid w:val="006A07FD"/>
    <w:rsid w:val="006A0CE5"/>
    <w:rsid w:val="006A116D"/>
    <w:rsid w:val="006A4880"/>
    <w:rsid w:val="006A519B"/>
    <w:rsid w:val="006A539E"/>
    <w:rsid w:val="006A5D04"/>
    <w:rsid w:val="006A61D3"/>
    <w:rsid w:val="006A763E"/>
    <w:rsid w:val="006A79F3"/>
    <w:rsid w:val="006B1EA7"/>
    <w:rsid w:val="006B2D16"/>
    <w:rsid w:val="006B7D97"/>
    <w:rsid w:val="006C2DF8"/>
    <w:rsid w:val="006C2F0A"/>
    <w:rsid w:val="006C39BD"/>
    <w:rsid w:val="006C6326"/>
    <w:rsid w:val="006D0CBA"/>
    <w:rsid w:val="006D237B"/>
    <w:rsid w:val="006D7742"/>
    <w:rsid w:val="006D77D1"/>
    <w:rsid w:val="006D7C16"/>
    <w:rsid w:val="006E4890"/>
    <w:rsid w:val="006E73DD"/>
    <w:rsid w:val="006F0FA7"/>
    <w:rsid w:val="006F17AE"/>
    <w:rsid w:val="006F2081"/>
    <w:rsid w:val="006F430F"/>
    <w:rsid w:val="006F4C07"/>
    <w:rsid w:val="006F6B7C"/>
    <w:rsid w:val="006F7685"/>
    <w:rsid w:val="00700131"/>
    <w:rsid w:val="0070089A"/>
    <w:rsid w:val="00701090"/>
    <w:rsid w:val="00701339"/>
    <w:rsid w:val="00703385"/>
    <w:rsid w:val="00704EA4"/>
    <w:rsid w:val="007062D1"/>
    <w:rsid w:val="00707A80"/>
    <w:rsid w:val="00711C23"/>
    <w:rsid w:val="00712068"/>
    <w:rsid w:val="007124C7"/>
    <w:rsid w:val="00712B41"/>
    <w:rsid w:val="00716441"/>
    <w:rsid w:val="007166CD"/>
    <w:rsid w:val="00716FAE"/>
    <w:rsid w:val="00717A68"/>
    <w:rsid w:val="00720389"/>
    <w:rsid w:val="00723099"/>
    <w:rsid w:val="00723557"/>
    <w:rsid w:val="00723B98"/>
    <w:rsid w:val="007243C2"/>
    <w:rsid w:val="0072605B"/>
    <w:rsid w:val="007275AA"/>
    <w:rsid w:val="00732631"/>
    <w:rsid w:val="00735243"/>
    <w:rsid w:val="00735912"/>
    <w:rsid w:val="00736111"/>
    <w:rsid w:val="007413CF"/>
    <w:rsid w:val="007413FD"/>
    <w:rsid w:val="00742F30"/>
    <w:rsid w:val="007445C5"/>
    <w:rsid w:val="0074616F"/>
    <w:rsid w:val="007461F4"/>
    <w:rsid w:val="00747C47"/>
    <w:rsid w:val="00747D1F"/>
    <w:rsid w:val="007547CF"/>
    <w:rsid w:val="0075492C"/>
    <w:rsid w:val="00754BF3"/>
    <w:rsid w:val="00754DA4"/>
    <w:rsid w:val="00755DC7"/>
    <w:rsid w:val="00757F20"/>
    <w:rsid w:val="00761268"/>
    <w:rsid w:val="00761B05"/>
    <w:rsid w:val="00761B0D"/>
    <w:rsid w:val="00762F5E"/>
    <w:rsid w:val="00763A69"/>
    <w:rsid w:val="00766023"/>
    <w:rsid w:val="007667F1"/>
    <w:rsid w:val="00766E43"/>
    <w:rsid w:val="00770DD1"/>
    <w:rsid w:val="0077172F"/>
    <w:rsid w:val="00772318"/>
    <w:rsid w:val="00772FBF"/>
    <w:rsid w:val="00773C1A"/>
    <w:rsid w:val="00773FD5"/>
    <w:rsid w:val="00775227"/>
    <w:rsid w:val="00775FB9"/>
    <w:rsid w:val="00776BB0"/>
    <w:rsid w:val="0077706A"/>
    <w:rsid w:val="00780100"/>
    <w:rsid w:val="00780878"/>
    <w:rsid w:val="00780910"/>
    <w:rsid w:val="0078132D"/>
    <w:rsid w:val="00781413"/>
    <w:rsid w:val="00782F27"/>
    <w:rsid w:val="007874BA"/>
    <w:rsid w:val="00787E73"/>
    <w:rsid w:val="007921A2"/>
    <w:rsid w:val="0079299E"/>
    <w:rsid w:val="0079712D"/>
    <w:rsid w:val="007A28F6"/>
    <w:rsid w:val="007A3BC8"/>
    <w:rsid w:val="007A4363"/>
    <w:rsid w:val="007A5235"/>
    <w:rsid w:val="007A6394"/>
    <w:rsid w:val="007B08EF"/>
    <w:rsid w:val="007B2D1C"/>
    <w:rsid w:val="007B4794"/>
    <w:rsid w:val="007B5B0E"/>
    <w:rsid w:val="007B6D8A"/>
    <w:rsid w:val="007B6E82"/>
    <w:rsid w:val="007C11DD"/>
    <w:rsid w:val="007C1DB4"/>
    <w:rsid w:val="007C27C8"/>
    <w:rsid w:val="007C2835"/>
    <w:rsid w:val="007C39CD"/>
    <w:rsid w:val="007C3C67"/>
    <w:rsid w:val="007C42F6"/>
    <w:rsid w:val="007C5ED3"/>
    <w:rsid w:val="007C6FFB"/>
    <w:rsid w:val="007D180E"/>
    <w:rsid w:val="007D3932"/>
    <w:rsid w:val="007D4229"/>
    <w:rsid w:val="007D5383"/>
    <w:rsid w:val="007D6D4C"/>
    <w:rsid w:val="007E2CEF"/>
    <w:rsid w:val="007E3046"/>
    <w:rsid w:val="007E461A"/>
    <w:rsid w:val="007E4951"/>
    <w:rsid w:val="007F06A5"/>
    <w:rsid w:val="007F0842"/>
    <w:rsid w:val="007F1D07"/>
    <w:rsid w:val="007F339F"/>
    <w:rsid w:val="007F37DF"/>
    <w:rsid w:val="007F40E2"/>
    <w:rsid w:val="007F7D3C"/>
    <w:rsid w:val="008013A3"/>
    <w:rsid w:val="00801860"/>
    <w:rsid w:val="0080197C"/>
    <w:rsid w:val="00802C6C"/>
    <w:rsid w:val="008048A3"/>
    <w:rsid w:val="00811C09"/>
    <w:rsid w:val="00815470"/>
    <w:rsid w:val="00815BDA"/>
    <w:rsid w:val="0081651A"/>
    <w:rsid w:val="00820246"/>
    <w:rsid w:val="00820D5E"/>
    <w:rsid w:val="008226D3"/>
    <w:rsid w:val="008229BE"/>
    <w:rsid w:val="008263B6"/>
    <w:rsid w:val="008300D9"/>
    <w:rsid w:val="00831319"/>
    <w:rsid w:val="00834146"/>
    <w:rsid w:val="00835B99"/>
    <w:rsid w:val="00836D14"/>
    <w:rsid w:val="00836E86"/>
    <w:rsid w:val="008401DC"/>
    <w:rsid w:val="00840870"/>
    <w:rsid w:val="00840902"/>
    <w:rsid w:val="00842B7C"/>
    <w:rsid w:val="00843257"/>
    <w:rsid w:val="008451F6"/>
    <w:rsid w:val="008461CB"/>
    <w:rsid w:val="008466A8"/>
    <w:rsid w:val="00846A31"/>
    <w:rsid w:val="0085270C"/>
    <w:rsid w:val="008534CE"/>
    <w:rsid w:val="00853ACE"/>
    <w:rsid w:val="00854D3B"/>
    <w:rsid w:val="00856890"/>
    <w:rsid w:val="00856C42"/>
    <w:rsid w:val="00857C10"/>
    <w:rsid w:val="0086031B"/>
    <w:rsid w:val="00861055"/>
    <w:rsid w:val="00861BD2"/>
    <w:rsid w:val="00861D2D"/>
    <w:rsid w:val="00861FB8"/>
    <w:rsid w:val="008637AA"/>
    <w:rsid w:val="00866DC9"/>
    <w:rsid w:val="0086746E"/>
    <w:rsid w:val="00867E11"/>
    <w:rsid w:val="008714A5"/>
    <w:rsid w:val="00871930"/>
    <w:rsid w:val="008735DC"/>
    <w:rsid w:val="00873B1B"/>
    <w:rsid w:val="00874549"/>
    <w:rsid w:val="0087462B"/>
    <w:rsid w:val="0087516D"/>
    <w:rsid w:val="00876D35"/>
    <w:rsid w:val="008815E4"/>
    <w:rsid w:val="00882F81"/>
    <w:rsid w:val="00884DDE"/>
    <w:rsid w:val="00885929"/>
    <w:rsid w:val="00885D7C"/>
    <w:rsid w:val="00885F27"/>
    <w:rsid w:val="00886C62"/>
    <w:rsid w:val="00886D8B"/>
    <w:rsid w:val="00891C2F"/>
    <w:rsid w:val="00892784"/>
    <w:rsid w:val="008929C2"/>
    <w:rsid w:val="00892BAF"/>
    <w:rsid w:val="00892F2D"/>
    <w:rsid w:val="00892F76"/>
    <w:rsid w:val="0089627F"/>
    <w:rsid w:val="00896680"/>
    <w:rsid w:val="00896848"/>
    <w:rsid w:val="008A1C54"/>
    <w:rsid w:val="008A21D3"/>
    <w:rsid w:val="008A28DF"/>
    <w:rsid w:val="008A2DD4"/>
    <w:rsid w:val="008A40F6"/>
    <w:rsid w:val="008A41A9"/>
    <w:rsid w:val="008A41C7"/>
    <w:rsid w:val="008A5B8C"/>
    <w:rsid w:val="008A6F3E"/>
    <w:rsid w:val="008A70AE"/>
    <w:rsid w:val="008A7487"/>
    <w:rsid w:val="008A7BD3"/>
    <w:rsid w:val="008B0200"/>
    <w:rsid w:val="008B18C5"/>
    <w:rsid w:val="008B4E3B"/>
    <w:rsid w:val="008B5110"/>
    <w:rsid w:val="008B69C5"/>
    <w:rsid w:val="008C30DD"/>
    <w:rsid w:val="008C36A2"/>
    <w:rsid w:val="008D0CF4"/>
    <w:rsid w:val="008D2F88"/>
    <w:rsid w:val="008D3C12"/>
    <w:rsid w:val="008D666F"/>
    <w:rsid w:val="008D7699"/>
    <w:rsid w:val="008E172A"/>
    <w:rsid w:val="008E1953"/>
    <w:rsid w:val="008E501F"/>
    <w:rsid w:val="008F02AF"/>
    <w:rsid w:val="008F17E3"/>
    <w:rsid w:val="008F2E9C"/>
    <w:rsid w:val="008F4B41"/>
    <w:rsid w:val="008F742A"/>
    <w:rsid w:val="008F7960"/>
    <w:rsid w:val="00900E0F"/>
    <w:rsid w:val="0090174C"/>
    <w:rsid w:val="00902E50"/>
    <w:rsid w:val="00903438"/>
    <w:rsid w:val="0090377E"/>
    <w:rsid w:val="00904836"/>
    <w:rsid w:val="00904E34"/>
    <w:rsid w:val="009067C4"/>
    <w:rsid w:val="00907E63"/>
    <w:rsid w:val="00911CB6"/>
    <w:rsid w:val="00916304"/>
    <w:rsid w:val="00920073"/>
    <w:rsid w:val="00920E70"/>
    <w:rsid w:val="00922B79"/>
    <w:rsid w:val="009256F3"/>
    <w:rsid w:val="009258A6"/>
    <w:rsid w:val="00925F47"/>
    <w:rsid w:val="00932128"/>
    <w:rsid w:val="00932218"/>
    <w:rsid w:val="00932B20"/>
    <w:rsid w:val="009348F9"/>
    <w:rsid w:val="009374B7"/>
    <w:rsid w:val="00937FDB"/>
    <w:rsid w:val="0094144D"/>
    <w:rsid w:val="00941451"/>
    <w:rsid w:val="00942B46"/>
    <w:rsid w:val="00943E89"/>
    <w:rsid w:val="00945D98"/>
    <w:rsid w:val="00947D41"/>
    <w:rsid w:val="009536D4"/>
    <w:rsid w:val="00956E27"/>
    <w:rsid w:val="00957C14"/>
    <w:rsid w:val="0096026E"/>
    <w:rsid w:val="0096049D"/>
    <w:rsid w:val="00962415"/>
    <w:rsid w:val="00964D50"/>
    <w:rsid w:val="009663DF"/>
    <w:rsid w:val="0096737A"/>
    <w:rsid w:val="00970AF3"/>
    <w:rsid w:val="00971783"/>
    <w:rsid w:val="00972351"/>
    <w:rsid w:val="009752AF"/>
    <w:rsid w:val="00976BEA"/>
    <w:rsid w:val="009770D5"/>
    <w:rsid w:val="009776D2"/>
    <w:rsid w:val="00977BEF"/>
    <w:rsid w:val="0098219A"/>
    <w:rsid w:val="00982E79"/>
    <w:rsid w:val="00983044"/>
    <w:rsid w:val="0098346E"/>
    <w:rsid w:val="0098483B"/>
    <w:rsid w:val="0098512A"/>
    <w:rsid w:val="00985986"/>
    <w:rsid w:val="00987EDD"/>
    <w:rsid w:val="009911BA"/>
    <w:rsid w:val="00991AA3"/>
    <w:rsid w:val="0099260D"/>
    <w:rsid w:val="00992A50"/>
    <w:rsid w:val="00993699"/>
    <w:rsid w:val="0099435C"/>
    <w:rsid w:val="00994790"/>
    <w:rsid w:val="00997459"/>
    <w:rsid w:val="009A32C0"/>
    <w:rsid w:val="009A4CA7"/>
    <w:rsid w:val="009A5B02"/>
    <w:rsid w:val="009A6021"/>
    <w:rsid w:val="009B0E19"/>
    <w:rsid w:val="009B1EFB"/>
    <w:rsid w:val="009B29B2"/>
    <w:rsid w:val="009B45B8"/>
    <w:rsid w:val="009B70D1"/>
    <w:rsid w:val="009C1087"/>
    <w:rsid w:val="009C10B1"/>
    <w:rsid w:val="009C2582"/>
    <w:rsid w:val="009D12C6"/>
    <w:rsid w:val="009D1944"/>
    <w:rsid w:val="009D3E04"/>
    <w:rsid w:val="009D3E5F"/>
    <w:rsid w:val="009D5235"/>
    <w:rsid w:val="009D75E6"/>
    <w:rsid w:val="009E1E5D"/>
    <w:rsid w:val="009E3F63"/>
    <w:rsid w:val="009E4502"/>
    <w:rsid w:val="009E519E"/>
    <w:rsid w:val="009E6111"/>
    <w:rsid w:val="009F0696"/>
    <w:rsid w:val="009F28DE"/>
    <w:rsid w:val="009F6FAF"/>
    <w:rsid w:val="00A01F08"/>
    <w:rsid w:val="00A028A0"/>
    <w:rsid w:val="00A03F4C"/>
    <w:rsid w:val="00A03FEE"/>
    <w:rsid w:val="00A06DC3"/>
    <w:rsid w:val="00A07991"/>
    <w:rsid w:val="00A11FCA"/>
    <w:rsid w:val="00A1206C"/>
    <w:rsid w:val="00A12BD1"/>
    <w:rsid w:val="00A149FA"/>
    <w:rsid w:val="00A15590"/>
    <w:rsid w:val="00A15D45"/>
    <w:rsid w:val="00A177A4"/>
    <w:rsid w:val="00A179BF"/>
    <w:rsid w:val="00A17BCF"/>
    <w:rsid w:val="00A2093D"/>
    <w:rsid w:val="00A20C93"/>
    <w:rsid w:val="00A22A2C"/>
    <w:rsid w:val="00A2411A"/>
    <w:rsid w:val="00A250EE"/>
    <w:rsid w:val="00A27584"/>
    <w:rsid w:val="00A27E2C"/>
    <w:rsid w:val="00A31F3C"/>
    <w:rsid w:val="00A3296D"/>
    <w:rsid w:val="00A345BE"/>
    <w:rsid w:val="00A34A00"/>
    <w:rsid w:val="00A35373"/>
    <w:rsid w:val="00A376CD"/>
    <w:rsid w:val="00A40F58"/>
    <w:rsid w:val="00A414BA"/>
    <w:rsid w:val="00A43049"/>
    <w:rsid w:val="00A44141"/>
    <w:rsid w:val="00A44D62"/>
    <w:rsid w:val="00A44E6D"/>
    <w:rsid w:val="00A4755F"/>
    <w:rsid w:val="00A47767"/>
    <w:rsid w:val="00A5045E"/>
    <w:rsid w:val="00A529DB"/>
    <w:rsid w:val="00A532A1"/>
    <w:rsid w:val="00A53DD4"/>
    <w:rsid w:val="00A566F7"/>
    <w:rsid w:val="00A572EF"/>
    <w:rsid w:val="00A60534"/>
    <w:rsid w:val="00A60883"/>
    <w:rsid w:val="00A60E54"/>
    <w:rsid w:val="00A615D5"/>
    <w:rsid w:val="00A67960"/>
    <w:rsid w:val="00A718C3"/>
    <w:rsid w:val="00A72C9A"/>
    <w:rsid w:val="00A72EC0"/>
    <w:rsid w:val="00A7369C"/>
    <w:rsid w:val="00A740F0"/>
    <w:rsid w:val="00A743A4"/>
    <w:rsid w:val="00A77718"/>
    <w:rsid w:val="00A778ED"/>
    <w:rsid w:val="00A8065F"/>
    <w:rsid w:val="00A867F9"/>
    <w:rsid w:val="00A909E5"/>
    <w:rsid w:val="00A93743"/>
    <w:rsid w:val="00A951D1"/>
    <w:rsid w:val="00A96396"/>
    <w:rsid w:val="00A9687C"/>
    <w:rsid w:val="00A96CC4"/>
    <w:rsid w:val="00AB2634"/>
    <w:rsid w:val="00AB2814"/>
    <w:rsid w:val="00AB2AD4"/>
    <w:rsid w:val="00AB31BC"/>
    <w:rsid w:val="00AB403E"/>
    <w:rsid w:val="00AB48E7"/>
    <w:rsid w:val="00AB52BC"/>
    <w:rsid w:val="00AB61C3"/>
    <w:rsid w:val="00AB6693"/>
    <w:rsid w:val="00AB6D1F"/>
    <w:rsid w:val="00AB7D74"/>
    <w:rsid w:val="00AC021A"/>
    <w:rsid w:val="00AC25C1"/>
    <w:rsid w:val="00AD1F59"/>
    <w:rsid w:val="00AD21FE"/>
    <w:rsid w:val="00AD5191"/>
    <w:rsid w:val="00AD5700"/>
    <w:rsid w:val="00AD5BDE"/>
    <w:rsid w:val="00AD6FE0"/>
    <w:rsid w:val="00AD76E8"/>
    <w:rsid w:val="00AE0E88"/>
    <w:rsid w:val="00AE271E"/>
    <w:rsid w:val="00AE3414"/>
    <w:rsid w:val="00AE3843"/>
    <w:rsid w:val="00AE46DD"/>
    <w:rsid w:val="00AE4B10"/>
    <w:rsid w:val="00AE62FD"/>
    <w:rsid w:val="00AE7C2E"/>
    <w:rsid w:val="00AE7E38"/>
    <w:rsid w:val="00AF09F6"/>
    <w:rsid w:val="00AF3454"/>
    <w:rsid w:val="00AF5CAE"/>
    <w:rsid w:val="00AF5F4F"/>
    <w:rsid w:val="00B00405"/>
    <w:rsid w:val="00B01035"/>
    <w:rsid w:val="00B02184"/>
    <w:rsid w:val="00B02520"/>
    <w:rsid w:val="00B03282"/>
    <w:rsid w:val="00B035A6"/>
    <w:rsid w:val="00B06278"/>
    <w:rsid w:val="00B065F8"/>
    <w:rsid w:val="00B06C39"/>
    <w:rsid w:val="00B075CF"/>
    <w:rsid w:val="00B10D75"/>
    <w:rsid w:val="00B122B2"/>
    <w:rsid w:val="00B14E02"/>
    <w:rsid w:val="00B168D8"/>
    <w:rsid w:val="00B2078C"/>
    <w:rsid w:val="00B21B92"/>
    <w:rsid w:val="00B22006"/>
    <w:rsid w:val="00B22599"/>
    <w:rsid w:val="00B2373B"/>
    <w:rsid w:val="00B2463F"/>
    <w:rsid w:val="00B24A99"/>
    <w:rsid w:val="00B26E60"/>
    <w:rsid w:val="00B27232"/>
    <w:rsid w:val="00B27768"/>
    <w:rsid w:val="00B27F88"/>
    <w:rsid w:val="00B313EA"/>
    <w:rsid w:val="00B3490E"/>
    <w:rsid w:val="00B34D05"/>
    <w:rsid w:val="00B35D0B"/>
    <w:rsid w:val="00B3635B"/>
    <w:rsid w:val="00B3725E"/>
    <w:rsid w:val="00B37F30"/>
    <w:rsid w:val="00B40B6E"/>
    <w:rsid w:val="00B412B0"/>
    <w:rsid w:val="00B432A5"/>
    <w:rsid w:val="00B46E35"/>
    <w:rsid w:val="00B473AF"/>
    <w:rsid w:val="00B50821"/>
    <w:rsid w:val="00B51E2B"/>
    <w:rsid w:val="00B5259D"/>
    <w:rsid w:val="00B55E12"/>
    <w:rsid w:val="00B60E10"/>
    <w:rsid w:val="00B60E7C"/>
    <w:rsid w:val="00B65076"/>
    <w:rsid w:val="00B6526D"/>
    <w:rsid w:val="00B727DC"/>
    <w:rsid w:val="00B73A49"/>
    <w:rsid w:val="00B7441B"/>
    <w:rsid w:val="00B74496"/>
    <w:rsid w:val="00B75C73"/>
    <w:rsid w:val="00B76106"/>
    <w:rsid w:val="00B77CA9"/>
    <w:rsid w:val="00B843C4"/>
    <w:rsid w:val="00B848C6"/>
    <w:rsid w:val="00B8494D"/>
    <w:rsid w:val="00B84A6C"/>
    <w:rsid w:val="00B84B42"/>
    <w:rsid w:val="00B860E7"/>
    <w:rsid w:val="00B877A0"/>
    <w:rsid w:val="00B90966"/>
    <w:rsid w:val="00B90F38"/>
    <w:rsid w:val="00B94909"/>
    <w:rsid w:val="00B95782"/>
    <w:rsid w:val="00B95AF1"/>
    <w:rsid w:val="00B95D7F"/>
    <w:rsid w:val="00B96438"/>
    <w:rsid w:val="00B97805"/>
    <w:rsid w:val="00B979CA"/>
    <w:rsid w:val="00BA0135"/>
    <w:rsid w:val="00BA05D5"/>
    <w:rsid w:val="00BA2293"/>
    <w:rsid w:val="00BA58F2"/>
    <w:rsid w:val="00BA6386"/>
    <w:rsid w:val="00BA6499"/>
    <w:rsid w:val="00BB192A"/>
    <w:rsid w:val="00BB4459"/>
    <w:rsid w:val="00BB465B"/>
    <w:rsid w:val="00BB56CC"/>
    <w:rsid w:val="00BB7751"/>
    <w:rsid w:val="00BC02A7"/>
    <w:rsid w:val="00BC2851"/>
    <w:rsid w:val="00BC41C2"/>
    <w:rsid w:val="00BC43EA"/>
    <w:rsid w:val="00BC44D7"/>
    <w:rsid w:val="00BC6435"/>
    <w:rsid w:val="00BD33D7"/>
    <w:rsid w:val="00BD53C6"/>
    <w:rsid w:val="00BD79C6"/>
    <w:rsid w:val="00BE0EF9"/>
    <w:rsid w:val="00BE449F"/>
    <w:rsid w:val="00BE4695"/>
    <w:rsid w:val="00BE5EF8"/>
    <w:rsid w:val="00BE6D7B"/>
    <w:rsid w:val="00BF350C"/>
    <w:rsid w:val="00BF5165"/>
    <w:rsid w:val="00BF5B86"/>
    <w:rsid w:val="00BF5D22"/>
    <w:rsid w:val="00BF64FB"/>
    <w:rsid w:val="00BF650D"/>
    <w:rsid w:val="00BF6D86"/>
    <w:rsid w:val="00BF7A65"/>
    <w:rsid w:val="00C016CD"/>
    <w:rsid w:val="00C01A3E"/>
    <w:rsid w:val="00C021AC"/>
    <w:rsid w:val="00C02AA0"/>
    <w:rsid w:val="00C04654"/>
    <w:rsid w:val="00C04B39"/>
    <w:rsid w:val="00C06037"/>
    <w:rsid w:val="00C06D33"/>
    <w:rsid w:val="00C0786A"/>
    <w:rsid w:val="00C07C6E"/>
    <w:rsid w:val="00C104D7"/>
    <w:rsid w:val="00C10709"/>
    <w:rsid w:val="00C11C66"/>
    <w:rsid w:val="00C11F2E"/>
    <w:rsid w:val="00C11FF4"/>
    <w:rsid w:val="00C143B9"/>
    <w:rsid w:val="00C145BD"/>
    <w:rsid w:val="00C15B67"/>
    <w:rsid w:val="00C179C2"/>
    <w:rsid w:val="00C2199E"/>
    <w:rsid w:val="00C21B2C"/>
    <w:rsid w:val="00C22459"/>
    <w:rsid w:val="00C22FD7"/>
    <w:rsid w:val="00C236A5"/>
    <w:rsid w:val="00C2734D"/>
    <w:rsid w:val="00C307EC"/>
    <w:rsid w:val="00C35079"/>
    <w:rsid w:val="00C37216"/>
    <w:rsid w:val="00C37603"/>
    <w:rsid w:val="00C42AB3"/>
    <w:rsid w:val="00C436D9"/>
    <w:rsid w:val="00C4374F"/>
    <w:rsid w:val="00C460CD"/>
    <w:rsid w:val="00C46898"/>
    <w:rsid w:val="00C509D6"/>
    <w:rsid w:val="00C51370"/>
    <w:rsid w:val="00C52500"/>
    <w:rsid w:val="00C53B5B"/>
    <w:rsid w:val="00C54C9D"/>
    <w:rsid w:val="00C55DCD"/>
    <w:rsid w:val="00C60CB8"/>
    <w:rsid w:val="00C6102A"/>
    <w:rsid w:val="00C62BDA"/>
    <w:rsid w:val="00C64862"/>
    <w:rsid w:val="00C65F2C"/>
    <w:rsid w:val="00C662FA"/>
    <w:rsid w:val="00C66488"/>
    <w:rsid w:val="00C67D7C"/>
    <w:rsid w:val="00C71AD5"/>
    <w:rsid w:val="00C735C1"/>
    <w:rsid w:val="00C75968"/>
    <w:rsid w:val="00C7677E"/>
    <w:rsid w:val="00C77832"/>
    <w:rsid w:val="00C81026"/>
    <w:rsid w:val="00C83D62"/>
    <w:rsid w:val="00C851F8"/>
    <w:rsid w:val="00C8531A"/>
    <w:rsid w:val="00C9186D"/>
    <w:rsid w:val="00C93E7F"/>
    <w:rsid w:val="00CA150C"/>
    <w:rsid w:val="00CA15F6"/>
    <w:rsid w:val="00CA4208"/>
    <w:rsid w:val="00CA529A"/>
    <w:rsid w:val="00CA5D5C"/>
    <w:rsid w:val="00CA7F77"/>
    <w:rsid w:val="00CB00F8"/>
    <w:rsid w:val="00CB0508"/>
    <w:rsid w:val="00CB17CB"/>
    <w:rsid w:val="00CB2040"/>
    <w:rsid w:val="00CB2137"/>
    <w:rsid w:val="00CB28DB"/>
    <w:rsid w:val="00CB5C2B"/>
    <w:rsid w:val="00CC0C01"/>
    <w:rsid w:val="00CC25BA"/>
    <w:rsid w:val="00CC2C58"/>
    <w:rsid w:val="00CC2C5B"/>
    <w:rsid w:val="00CC46AB"/>
    <w:rsid w:val="00CC4E03"/>
    <w:rsid w:val="00CC51AE"/>
    <w:rsid w:val="00CC60C6"/>
    <w:rsid w:val="00CC6EF5"/>
    <w:rsid w:val="00CD1AB8"/>
    <w:rsid w:val="00CD262C"/>
    <w:rsid w:val="00CD49A3"/>
    <w:rsid w:val="00CD5A40"/>
    <w:rsid w:val="00CD62CD"/>
    <w:rsid w:val="00CD67E2"/>
    <w:rsid w:val="00CD69D3"/>
    <w:rsid w:val="00CD71B0"/>
    <w:rsid w:val="00CE2C3B"/>
    <w:rsid w:val="00CE62D3"/>
    <w:rsid w:val="00CE68ED"/>
    <w:rsid w:val="00CE6DE6"/>
    <w:rsid w:val="00CE70DF"/>
    <w:rsid w:val="00CE7260"/>
    <w:rsid w:val="00CE7AF7"/>
    <w:rsid w:val="00CF3A6A"/>
    <w:rsid w:val="00CF5840"/>
    <w:rsid w:val="00CF7A47"/>
    <w:rsid w:val="00D0058E"/>
    <w:rsid w:val="00D01909"/>
    <w:rsid w:val="00D01E43"/>
    <w:rsid w:val="00D023F2"/>
    <w:rsid w:val="00D028FF"/>
    <w:rsid w:val="00D04F15"/>
    <w:rsid w:val="00D05FF5"/>
    <w:rsid w:val="00D06F43"/>
    <w:rsid w:val="00D07998"/>
    <w:rsid w:val="00D079A7"/>
    <w:rsid w:val="00D101B2"/>
    <w:rsid w:val="00D1024C"/>
    <w:rsid w:val="00D13BB6"/>
    <w:rsid w:val="00D1491E"/>
    <w:rsid w:val="00D15BC9"/>
    <w:rsid w:val="00D16BE9"/>
    <w:rsid w:val="00D170FF"/>
    <w:rsid w:val="00D20414"/>
    <w:rsid w:val="00D216D0"/>
    <w:rsid w:val="00D21E07"/>
    <w:rsid w:val="00D24E9E"/>
    <w:rsid w:val="00D31E9E"/>
    <w:rsid w:val="00D33C92"/>
    <w:rsid w:val="00D3570E"/>
    <w:rsid w:val="00D368A9"/>
    <w:rsid w:val="00D40EAB"/>
    <w:rsid w:val="00D428EB"/>
    <w:rsid w:val="00D5040E"/>
    <w:rsid w:val="00D50735"/>
    <w:rsid w:val="00D50B69"/>
    <w:rsid w:val="00D51A15"/>
    <w:rsid w:val="00D52588"/>
    <w:rsid w:val="00D52AAD"/>
    <w:rsid w:val="00D53912"/>
    <w:rsid w:val="00D61906"/>
    <w:rsid w:val="00D639B3"/>
    <w:rsid w:val="00D653DF"/>
    <w:rsid w:val="00D65BCA"/>
    <w:rsid w:val="00D737AD"/>
    <w:rsid w:val="00D73C5D"/>
    <w:rsid w:val="00D743F6"/>
    <w:rsid w:val="00D748D8"/>
    <w:rsid w:val="00D7562E"/>
    <w:rsid w:val="00D808A7"/>
    <w:rsid w:val="00D80B78"/>
    <w:rsid w:val="00D81490"/>
    <w:rsid w:val="00D81FD5"/>
    <w:rsid w:val="00D85399"/>
    <w:rsid w:val="00D916CE"/>
    <w:rsid w:val="00D91C65"/>
    <w:rsid w:val="00D91DAB"/>
    <w:rsid w:val="00D9210D"/>
    <w:rsid w:val="00D9353F"/>
    <w:rsid w:val="00D969F1"/>
    <w:rsid w:val="00DA0A84"/>
    <w:rsid w:val="00DA2137"/>
    <w:rsid w:val="00DA2A79"/>
    <w:rsid w:val="00DA3408"/>
    <w:rsid w:val="00DA3E34"/>
    <w:rsid w:val="00DA4554"/>
    <w:rsid w:val="00DB0058"/>
    <w:rsid w:val="00DB0D9C"/>
    <w:rsid w:val="00DB206B"/>
    <w:rsid w:val="00DB216A"/>
    <w:rsid w:val="00DB257B"/>
    <w:rsid w:val="00DB4DF6"/>
    <w:rsid w:val="00DB5E3C"/>
    <w:rsid w:val="00DB6B43"/>
    <w:rsid w:val="00DB7521"/>
    <w:rsid w:val="00DB7569"/>
    <w:rsid w:val="00DC0E1D"/>
    <w:rsid w:val="00DC0FBD"/>
    <w:rsid w:val="00DC301F"/>
    <w:rsid w:val="00DC3BE5"/>
    <w:rsid w:val="00DC537A"/>
    <w:rsid w:val="00DC71A3"/>
    <w:rsid w:val="00DC7B23"/>
    <w:rsid w:val="00DD13F0"/>
    <w:rsid w:val="00DD20CD"/>
    <w:rsid w:val="00DD747D"/>
    <w:rsid w:val="00DE0523"/>
    <w:rsid w:val="00DE0D0C"/>
    <w:rsid w:val="00DF0D2D"/>
    <w:rsid w:val="00DF200E"/>
    <w:rsid w:val="00DF49CC"/>
    <w:rsid w:val="00DF56B6"/>
    <w:rsid w:val="00DF71CC"/>
    <w:rsid w:val="00E0037C"/>
    <w:rsid w:val="00E01ED3"/>
    <w:rsid w:val="00E02545"/>
    <w:rsid w:val="00E124AB"/>
    <w:rsid w:val="00E12504"/>
    <w:rsid w:val="00E13B9C"/>
    <w:rsid w:val="00E1488D"/>
    <w:rsid w:val="00E155B4"/>
    <w:rsid w:val="00E16C3F"/>
    <w:rsid w:val="00E20A48"/>
    <w:rsid w:val="00E21722"/>
    <w:rsid w:val="00E226D5"/>
    <w:rsid w:val="00E22AA7"/>
    <w:rsid w:val="00E22AC2"/>
    <w:rsid w:val="00E3436B"/>
    <w:rsid w:val="00E37BC8"/>
    <w:rsid w:val="00E400A8"/>
    <w:rsid w:val="00E431A1"/>
    <w:rsid w:val="00E43AD2"/>
    <w:rsid w:val="00E45764"/>
    <w:rsid w:val="00E4664E"/>
    <w:rsid w:val="00E46DD7"/>
    <w:rsid w:val="00E50232"/>
    <w:rsid w:val="00E50761"/>
    <w:rsid w:val="00E513BD"/>
    <w:rsid w:val="00E55309"/>
    <w:rsid w:val="00E55770"/>
    <w:rsid w:val="00E568AC"/>
    <w:rsid w:val="00E605D2"/>
    <w:rsid w:val="00E65BA2"/>
    <w:rsid w:val="00E71351"/>
    <w:rsid w:val="00E71B48"/>
    <w:rsid w:val="00E752E8"/>
    <w:rsid w:val="00E75C49"/>
    <w:rsid w:val="00E7616E"/>
    <w:rsid w:val="00E77B9C"/>
    <w:rsid w:val="00E819E6"/>
    <w:rsid w:val="00E81ECC"/>
    <w:rsid w:val="00E83C6F"/>
    <w:rsid w:val="00E84445"/>
    <w:rsid w:val="00E869CA"/>
    <w:rsid w:val="00E905D4"/>
    <w:rsid w:val="00E929FF"/>
    <w:rsid w:val="00E96FED"/>
    <w:rsid w:val="00EA1163"/>
    <w:rsid w:val="00EA15D4"/>
    <w:rsid w:val="00EA24BD"/>
    <w:rsid w:val="00EA5272"/>
    <w:rsid w:val="00EA7933"/>
    <w:rsid w:val="00EB0CE8"/>
    <w:rsid w:val="00EB0E50"/>
    <w:rsid w:val="00EB357E"/>
    <w:rsid w:val="00EB3A60"/>
    <w:rsid w:val="00EB6D2B"/>
    <w:rsid w:val="00EB75C9"/>
    <w:rsid w:val="00EC4CC4"/>
    <w:rsid w:val="00ED0299"/>
    <w:rsid w:val="00ED20F8"/>
    <w:rsid w:val="00ED5429"/>
    <w:rsid w:val="00ED59D4"/>
    <w:rsid w:val="00ED5F89"/>
    <w:rsid w:val="00ED72BF"/>
    <w:rsid w:val="00EE1556"/>
    <w:rsid w:val="00EE5CDA"/>
    <w:rsid w:val="00EE5D14"/>
    <w:rsid w:val="00EE6752"/>
    <w:rsid w:val="00EE7422"/>
    <w:rsid w:val="00EF04B2"/>
    <w:rsid w:val="00EF17EC"/>
    <w:rsid w:val="00EF3365"/>
    <w:rsid w:val="00EF3925"/>
    <w:rsid w:val="00EF4DC6"/>
    <w:rsid w:val="00EF54E9"/>
    <w:rsid w:val="00EF5742"/>
    <w:rsid w:val="00EF7471"/>
    <w:rsid w:val="00F062BA"/>
    <w:rsid w:val="00F0656B"/>
    <w:rsid w:val="00F07327"/>
    <w:rsid w:val="00F075D0"/>
    <w:rsid w:val="00F07DC3"/>
    <w:rsid w:val="00F15140"/>
    <w:rsid w:val="00F151FE"/>
    <w:rsid w:val="00F1608A"/>
    <w:rsid w:val="00F20D8C"/>
    <w:rsid w:val="00F21236"/>
    <w:rsid w:val="00F214A3"/>
    <w:rsid w:val="00F22AB0"/>
    <w:rsid w:val="00F23FC9"/>
    <w:rsid w:val="00F309C0"/>
    <w:rsid w:val="00F309C5"/>
    <w:rsid w:val="00F314A1"/>
    <w:rsid w:val="00F31A26"/>
    <w:rsid w:val="00F3237D"/>
    <w:rsid w:val="00F333AD"/>
    <w:rsid w:val="00F3372A"/>
    <w:rsid w:val="00F418CC"/>
    <w:rsid w:val="00F45057"/>
    <w:rsid w:val="00F47995"/>
    <w:rsid w:val="00F5038D"/>
    <w:rsid w:val="00F50F64"/>
    <w:rsid w:val="00F51AF3"/>
    <w:rsid w:val="00F5281E"/>
    <w:rsid w:val="00F541EC"/>
    <w:rsid w:val="00F54417"/>
    <w:rsid w:val="00F564E1"/>
    <w:rsid w:val="00F56B31"/>
    <w:rsid w:val="00F56D6B"/>
    <w:rsid w:val="00F61107"/>
    <w:rsid w:val="00F61A1B"/>
    <w:rsid w:val="00F63B25"/>
    <w:rsid w:val="00F65D91"/>
    <w:rsid w:val="00F67205"/>
    <w:rsid w:val="00F674EE"/>
    <w:rsid w:val="00F67A59"/>
    <w:rsid w:val="00F67FEB"/>
    <w:rsid w:val="00F70FC4"/>
    <w:rsid w:val="00F7344D"/>
    <w:rsid w:val="00F741CC"/>
    <w:rsid w:val="00F77047"/>
    <w:rsid w:val="00F803C0"/>
    <w:rsid w:val="00F80555"/>
    <w:rsid w:val="00F82DFC"/>
    <w:rsid w:val="00F85BB5"/>
    <w:rsid w:val="00F8718B"/>
    <w:rsid w:val="00F87337"/>
    <w:rsid w:val="00F875FD"/>
    <w:rsid w:val="00F91EC2"/>
    <w:rsid w:val="00F92B89"/>
    <w:rsid w:val="00F945ED"/>
    <w:rsid w:val="00F9564B"/>
    <w:rsid w:val="00FA001D"/>
    <w:rsid w:val="00FA0966"/>
    <w:rsid w:val="00FA0C74"/>
    <w:rsid w:val="00FA27DF"/>
    <w:rsid w:val="00FA6430"/>
    <w:rsid w:val="00FA68E7"/>
    <w:rsid w:val="00FB0F1F"/>
    <w:rsid w:val="00FB5696"/>
    <w:rsid w:val="00FB75E0"/>
    <w:rsid w:val="00FB7765"/>
    <w:rsid w:val="00FC19B8"/>
    <w:rsid w:val="00FC1B88"/>
    <w:rsid w:val="00FC1ED4"/>
    <w:rsid w:val="00FC2598"/>
    <w:rsid w:val="00FC28E8"/>
    <w:rsid w:val="00FC3076"/>
    <w:rsid w:val="00FC6806"/>
    <w:rsid w:val="00FD1567"/>
    <w:rsid w:val="00FD220A"/>
    <w:rsid w:val="00FD356C"/>
    <w:rsid w:val="00FD3A83"/>
    <w:rsid w:val="00FD4405"/>
    <w:rsid w:val="00FD4A64"/>
    <w:rsid w:val="00FD56CD"/>
    <w:rsid w:val="00FD5B2D"/>
    <w:rsid w:val="00FD62DD"/>
    <w:rsid w:val="00FD7342"/>
    <w:rsid w:val="00FD7C2C"/>
    <w:rsid w:val="00FD7CA4"/>
    <w:rsid w:val="00FE16C5"/>
    <w:rsid w:val="00FE25CD"/>
    <w:rsid w:val="00FE4A4B"/>
    <w:rsid w:val="00FE53D8"/>
    <w:rsid w:val="00FE7C14"/>
    <w:rsid w:val="00FF0333"/>
    <w:rsid w:val="00FF18A0"/>
    <w:rsid w:val="00FF30C1"/>
    <w:rsid w:val="00FF3B5C"/>
    <w:rsid w:val="00FF7362"/>
    <w:rsid w:val="024CE33A"/>
    <w:rsid w:val="05BA3259"/>
    <w:rsid w:val="06F55815"/>
    <w:rsid w:val="0B235434"/>
    <w:rsid w:val="0C0605F1"/>
    <w:rsid w:val="0E69CA82"/>
    <w:rsid w:val="0FAEDBEF"/>
    <w:rsid w:val="1276C77F"/>
    <w:rsid w:val="1286F7FF"/>
    <w:rsid w:val="12C5617C"/>
    <w:rsid w:val="1402E321"/>
    <w:rsid w:val="14264A16"/>
    <w:rsid w:val="15141CE3"/>
    <w:rsid w:val="165882D9"/>
    <w:rsid w:val="16657CDA"/>
    <w:rsid w:val="16E0AD39"/>
    <w:rsid w:val="1A8E25AD"/>
    <w:rsid w:val="1B024820"/>
    <w:rsid w:val="1D0C6652"/>
    <w:rsid w:val="1D899B55"/>
    <w:rsid w:val="1E88AF6A"/>
    <w:rsid w:val="1F49E435"/>
    <w:rsid w:val="20942ABA"/>
    <w:rsid w:val="20F211D8"/>
    <w:rsid w:val="21EE1DEF"/>
    <w:rsid w:val="25955FC5"/>
    <w:rsid w:val="26933ACA"/>
    <w:rsid w:val="26E56586"/>
    <w:rsid w:val="293955E0"/>
    <w:rsid w:val="2B5B7CA9"/>
    <w:rsid w:val="2B93729D"/>
    <w:rsid w:val="35D90E06"/>
    <w:rsid w:val="38D7C2B4"/>
    <w:rsid w:val="3B041750"/>
    <w:rsid w:val="3D15916C"/>
    <w:rsid w:val="410D61FA"/>
    <w:rsid w:val="45D11FD1"/>
    <w:rsid w:val="460FEE6C"/>
    <w:rsid w:val="471D36A8"/>
    <w:rsid w:val="49FE0E2C"/>
    <w:rsid w:val="4B6CD578"/>
    <w:rsid w:val="4B786BB9"/>
    <w:rsid w:val="4BD50CA8"/>
    <w:rsid w:val="4CBFB0F5"/>
    <w:rsid w:val="4D4B8715"/>
    <w:rsid w:val="4DBCA2D4"/>
    <w:rsid w:val="4E9B36FC"/>
    <w:rsid w:val="50AEB52F"/>
    <w:rsid w:val="518EE506"/>
    <w:rsid w:val="571CC7C3"/>
    <w:rsid w:val="5857DF85"/>
    <w:rsid w:val="59C87DBF"/>
    <w:rsid w:val="5B49F1E0"/>
    <w:rsid w:val="5CA3A619"/>
    <w:rsid w:val="5CA4A138"/>
    <w:rsid w:val="5CB56F60"/>
    <w:rsid w:val="5E980BCC"/>
    <w:rsid w:val="5F8F7DEB"/>
    <w:rsid w:val="61447674"/>
    <w:rsid w:val="64F9685C"/>
    <w:rsid w:val="661D0DEF"/>
    <w:rsid w:val="6C8A7BFD"/>
    <w:rsid w:val="710EB8DB"/>
    <w:rsid w:val="76966C0E"/>
    <w:rsid w:val="780ECFF6"/>
    <w:rsid w:val="78D483BF"/>
    <w:rsid w:val="7C57638E"/>
    <w:rsid w:val="7D2CA642"/>
    <w:rsid w:val="7DF31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7468"/>
  <w15:chartTrackingRefBased/>
  <w15:docId w15:val="{F99161C2-A28C-4F31-9E14-89FA9D2779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0414"/>
    <w:rPr>
      <w:rFonts w:eastAsiaTheme="minorHAnsi"/>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2041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210B1C"/>
    <w:rPr>
      <w:sz w:val="16"/>
      <w:szCs w:val="16"/>
    </w:rPr>
  </w:style>
  <w:style w:type="paragraph" w:styleId="CommentText">
    <w:name w:val="annotation text"/>
    <w:basedOn w:val="Normal"/>
    <w:link w:val="CommentTextChar"/>
    <w:uiPriority w:val="99"/>
    <w:unhideWhenUsed/>
    <w:rsid w:val="00210B1C"/>
    <w:pPr>
      <w:spacing w:line="240" w:lineRule="auto"/>
    </w:pPr>
    <w:rPr>
      <w:sz w:val="20"/>
      <w:szCs w:val="20"/>
    </w:rPr>
  </w:style>
  <w:style w:type="character" w:styleId="CommentTextChar" w:customStyle="1">
    <w:name w:val="Comment Text Char"/>
    <w:basedOn w:val="DefaultParagraphFont"/>
    <w:link w:val="CommentText"/>
    <w:uiPriority w:val="99"/>
    <w:rsid w:val="00210B1C"/>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10B1C"/>
    <w:rPr>
      <w:b/>
      <w:bCs/>
    </w:rPr>
  </w:style>
  <w:style w:type="character" w:styleId="CommentSubjectChar" w:customStyle="1">
    <w:name w:val="Comment Subject Char"/>
    <w:basedOn w:val="CommentTextChar"/>
    <w:link w:val="CommentSubject"/>
    <w:uiPriority w:val="99"/>
    <w:semiHidden/>
    <w:rsid w:val="00210B1C"/>
    <w:rPr>
      <w:rFonts w:eastAsiaTheme="minorHAnsi"/>
      <w:b/>
      <w:bCs/>
      <w:sz w:val="20"/>
      <w:szCs w:val="20"/>
      <w:lang w:eastAsia="en-US"/>
    </w:rPr>
  </w:style>
  <w:style w:type="paragraph" w:styleId="BalloonText">
    <w:name w:val="Balloon Text"/>
    <w:basedOn w:val="Normal"/>
    <w:link w:val="BalloonTextChar"/>
    <w:uiPriority w:val="99"/>
    <w:semiHidden/>
    <w:unhideWhenUsed/>
    <w:rsid w:val="00210B1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0B1C"/>
    <w:rPr>
      <w:rFonts w:ascii="Segoe UI" w:hAnsi="Segoe UI" w:cs="Segoe UI" w:eastAsiaTheme="minorHAnsi"/>
      <w:sz w:val="18"/>
      <w:szCs w:val="18"/>
      <w:lang w:eastAsia="en-US"/>
    </w:rPr>
  </w:style>
  <w:style w:type="paragraph" w:styleId="Header">
    <w:name w:val="header"/>
    <w:basedOn w:val="Normal"/>
    <w:link w:val="HeaderChar"/>
    <w:uiPriority w:val="99"/>
    <w:unhideWhenUsed/>
    <w:rsid w:val="00A177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77A4"/>
    <w:rPr>
      <w:rFonts w:eastAsiaTheme="minorHAnsi"/>
      <w:lang w:eastAsia="en-US"/>
    </w:rPr>
  </w:style>
  <w:style w:type="paragraph" w:styleId="Footer">
    <w:name w:val="footer"/>
    <w:basedOn w:val="Normal"/>
    <w:link w:val="FooterChar"/>
    <w:uiPriority w:val="99"/>
    <w:unhideWhenUsed/>
    <w:rsid w:val="00A177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77A4"/>
    <w:rPr>
      <w:rFonts w:eastAsiaTheme="minorHAnsi"/>
      <w:lang w:eastAsia="en-US"/>
    </w:rPr>
  </w:style>
  <w:style w:type="table" w:styleId="TableGrid">
    <w:name w:val="Table Grid"/>
    <w:basedOn w:val="TableNormal"/>
    <w:uiPriority w:val="39"/>
    <w:rsid w:val="003C2470"/>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rsid w:val="003C2470"/>
    <w:rPr>
      <w:rFonts w:ascii="Calibri" w:hAnsi="Calibri" w:cs="Calibri" w:eastAsiaTheme="minorHAnsi"/>
      <w:lang w:eastAsia="en-US"/>
    </w:rPr>
  </w:style>
  <w:style w:type="table" w:styleId="PlainTable4">
    <w:name w:val="Plain Table 4"/>
    <w:basedOn w:val="TableNormal"/>
    <w:uiPriority w:val="44"/>
    <w:rsid w:val="003C2470"/>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1608A"/>
    <w:pPr>
      <w:spacing w:after="0" w:line="240" w:lineRule="auto"/>
    </w:pPr>
    <w:rPr>
      <w:rFonts w:eastAsiaTheme="minorHAnsi"/>
      <w:lang w:eastAsia="en-US"/>
    </w:rPr>
  </w:style>
  <w:style w:type="paragraph" w:styleId="FootnoteText">
    <w:name w:val="footnote text"/>
    <w:basedOn w:val="Normal"/>
    <w:link w:val="FootnoteTextChar"/>
    <w:uiPriority w:val="99"/>
    <w:semiHidden/>
    <w:unhideWhenUsed/>
    <w:rsid w:val="00043B0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43B02"/>
    <w:rPr>
      <w:rFonts w:eastAsiaTheme="minorHAnsi"/>
      <w:sz w:val="20"/>
      <w:szCs w:val="20"/>
      <w:lang w:eastAsia="en-US"/>
    </w:rPr>
  </w:style>
  <w:style w:type="character" w:styleId="FootnoteReference">
    <w:name w:val="footnote reference"/>
    <w:basedOn w:val="DefaultParagraphFont"/>
    <w:uiPriority w:val="99"/>
    <w:semiHidden/>
    <w:unhideWhenUsed/>
    <w:rsid w:val="00043B02"/>
    <w:rPr>
      <w:vertAlign w:val="superscript"/>
    </w:rPr>
  </w:style>
  <w:style w:type="table" w:styleId="TableGrid1" w:customStyle="1">
    <w:name w:val="Table Grid1"/>
    <w:basedOn w:val="TableNormal"/>
    <w:next w:val="TableGrid"/>
    <w:uiPriority w:val="39"/>
    <w:rsid w:val="00755DC7"/>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1F5C93"/>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3C677D"/>
    <w:pPr>
      <w:spacing w:before="100" w:beforeAutospacing="1" w:after="100" w:afterAutospacing="1" w:line="240" w:lineRule="auto"/>
    </w:pPr>
    <w:rPr>
      <w:rFonts w:ascii="Times New Roman" w:hAnsi="Times New Roman"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252">
      <w:bodyDiv w:val="1"/>
      <w:marLeft w:val="0"/>
      <w:marRight w:val="0"/>
      <w:marTop w:val="0"/>
      <w:marBottom w:val="0"/>
      <w:divBdr>
        <w:top w:val="none" w:sz="0" w:space="0" w:color="auto"/>
        <w:left w:val="none" w:sz="0" w:space="0" w:color="auto"/>
        <w:bottom w:val="none" w:sz="0" w:space="0" w:color="auto"/>
        <w:right w:val="none" w:sz="0" w:space="0" w:color="auto"/>
      </w:divBdr>
    </w:div>
    <w:div w:id="49810158">
      <w:bodyDiv w:val="1"/>
      <w:marLeft w:val="0"/>
      <w:marRight w:val="0"/>
      <w:marTop w:val="0"/>
      <w:marBottom w:val="0"/>
      <w:divBdr>
        <w:top w:val="none" w:sz="0" w:space="0" w:color="auto"/>
        <w:left w:val="none" w:sz="0" w:space="0" w:color="auto"/>
        <w:bottom w:val="none" w:sz="0" w:space="0" w:color="auto"/>
        <w:right w:val="none" w:sz="0" w:space="0" w:color="auto"/>
      </w:divBdr>
    </w:div>
    <w:div w:id="116684932">
      <w:bodyDiv w:val="1"/>
      <w:marLeft w:val="0"/>
      <w:marRight w:val="0"/>
      <w:marTop w:val="0"/>
      <w:marBottom w:val="0"/>
      <w:divBdr>
        <w:top w:val="none" w:sz="0" w:space="0" w:color="auto"/>
        <w:left w:val="none" w:sz="0" w:space="0" w:color="auto"/>
        <w:bottom w:val="none" w:sz="0" w:space="0" w:color="auto"/>
        <w:right w:val="none" w:sz="0" w:space="0" w:color="auto"/>
      </w:divBdr>
      <w:divsChild>
        <w:div w:id="819922751">
          <w:marLeft w:val="0"/>
          <w:marRight w:val="0"/>
          <w:marTop w:val="0"/>
          <w:marBottom w:val="0"/>
          <w:divBdr>
            <w:top w:val="none" w:sz="0" w:space="0" w:color="auto"/>
            <w:left w:val="none" w:sz="0" w:space="0" w:color="auto"/>
            <w:bottom w:val="none" w:sz="0" w:space="0" w:color="auto"/>
            <w:right w:val="none" w:sz="0" w:space="0" w:color="auto"/>
          </w:divBdr>
        </w:div>
      </w:divsChild>
    </w:div>
    <w:div w:id="154423912">
      <w:bodyDiv w:val="1"/>
      <w:marLeft w:val="0"/>
      <w:marRight w:val="0"/>
      <w:marTop w:val="0"/>
      <w:marBottom w:val="0"/>
      <w:divBdr>
        <w:top w:val="none" w:sz="0" w:space="0" w:color="auto"/>
        <w:left w:val="none" w:sz="0" w:space="0" w:color="auto"/>
        <w:bottom w:val="none" w:sz="0" w:space="0" w:color="auto"/>
        <w:right w:val="none" w:sz="0" w:space="0" w:color="auto"/>
      </w:divBdr>
    </w:div>
    <w:div w:id="173541558">
      <w:bodyDiv w:val="1"/>
      <w:marLeft w:val="0"/>
      <w:marRight w:val="0"/>
      <w:marTop w:val="0"/>
      <w:marBottom w:val="0"/>
      <w:divBdr>
        <w:top w:val="none" w:sz="0" w:space="0" w:color="auto"/>
        <w:left w:val="none" w:sz="0" w:space="0" w:color="auto"/>
        <w:bottom w:val="none" w:sz="0" w:space="0" w:color="auto"/>
        <w:right w:val="none" w:sz="0" w:space="0" w:color="auto"/>
      </w:divBdr>
      <w:divsChild>
        <w:div w:id="1684089425">
          <w:marLeft w:val="0"/>
          <w:marRight w:val="0"/>
          <w:marTop w:val="0"/>
          <w:marBottom w:val="0"/>
          <w:divBdr>
            <w:top w:val="none" w:sz="0" w:space="0" w:color="auto"/>
            <w:left w:val="none" w:sz="0" w:space="0" w:color="auto"/>
            <w:bottom w:val="none" w:sz="0" w:space="0" w:color="auto"/>
            <w:right w:val="none" w:sz="0" w:space="0" w:color="auto"/>
          </w:divBdr>
        </w:div>
      </w:divsChild>
    </w:div>
    <w:div w:id="190143126">
      <w:bodyDiv w:val="1"/>
      <w:marLeft w:val="0"/>
      <w:marRight w:val="0"/>
      <w:marTop w:val="0"/>
      <w:marBottom w:val="0"/>
      <w:divBdr>
        <w:top w:val="none" w:sz="0" w:space="0" w:color="auto"/>
        <w:left w:val="none" w:sz="0" w:space="0" w:color="auto"/>
        <w:bottom w:val="none" w:sz="0" w:space="0" w:color="auto"/>
        <w:right w:val="none" w:sz="0" w:space="0" w:color="auto"/>
      </w:divBdr>
    </w:div>
    <w:div w:id="208227621">
      <w:bodyDiv w:val="1"/>
      <w:marLeft w:val="0"/>
      <w:marRight w:val="0"/>
      <w:marTop w:val="0"/>
      <w:marBottom w:val="0"/>
      <w:divBdr>
        <w:top w:val="none" w:sz="0" w:space="0" w:color="auto"/>
        <w:left w:val="none" w:sz="0" w:space="0" w:color="auto"/>
        <w:bottom w:val="none" w:sz="0" w:space="0" w:color="auto"/>
        <w:right w:val="none" w:sz="0" w:space="0" w:color="auto"/>
      </w:divBdr>
    </w:div>
    <w:div w:id="213977207">
      <w:bodyDiv w:val="1"/>
      <w:marLeft w:val="0"/>
      <w:marRight w:val="0"/>
      <w:marTop w:val="0"/>
      <w:marBottom w:val="0"/>
      <w:divBdr>
        <w:top w:val="none" w:sz="0" w:space="0" w:color="auto"/>
        <w:left w:val="none" w:sz="0" w:space="0" w:color="auto"/>
        <w:bottom w:val="none" w:sz="0" w:space="0" w:color="auto"/>
        <w:right w:val="none" w:sz="0" w:space="0" w:color="auto"/>
      </w:divBdr>
    </w:div>
    <w:div w:id="218901404">
      <w:bodyDiv w:val="1"/>
      <w:marLeft w:val="0"/>
      <w:marRight w:val="0"/>
      <w:marTop w:val="0"/>
      <w:marBottom w:val="0"/>
      <w:divBdr>
        <w:top w:val="none" w:sz="0" w:space="0" w:color="auto"/>
        <w:left w:val="none" w:sz="0" w:space="0" w:color="auto"/>
        <w:bottom w:val="none" w:sz="0" w:space="0" w:color="auto"/>
        <w:right w:val="none" w:sz="0" w:space="0" w:color="auto"/>
      </w:divBdr>
    </w:div>
    <w:div w:id="231962973">
      <w:bodyDiv w:val="1"/>
      <w:marLeft w:val="0"/>
      <w:marRight w:val="0"/>
      <w:marTop w:val="0"/>
      <w:marBottom w:val="0"/>
      <w:divBdr>
        <w:top w:val="none" w:sz="0" w:space="0" w:color="auto"/>
        <w:left w:val="none" w:sz="0" w:space="0" w:color="auto"/>
        <w:bottom w:val="none" w:sz="0" w:space="0" w:color="auto"/>
        <w:right w:val="none" w:sz="0" w:space="0" w:color="auto"/>
      </w:divBdr>
    </w:div>
    <w:div w:id="340084758">
      <w:bodyDiv w:val="1"/>
      <w:marLeft w:val="0"/>
      <w:marRight w:val="0"/>
      <w:marTop w:val="0"/>
      <w:marBottom w:val="0"/>
      <w:divBdr>
        <w:top w:val="none" w:sz="0" w:space="0" w:color="auto"/>
        <w:left w:val="none" w:sz="0" w:space="0" w:color="auto"/>
        <w:bottom w:val="none" w:sz="0" w:space="0" w:color="auto"/>
        <w:right w:val="none" w:sz="0" w:space="0" w:color="auto"/>
      </w:divBdr>
    </w:div>
    <w:div w:id="345132849">
      <w:bodyDiv w:val="1"/>
      <w:marLeft w:val="0"/>
      <w:marRight w:val="0"/>
      <w:marTop w:val="0"/>
      <w:marBottom w:val="0"/>
      <w:divBdr>
        <w:top w:val="none" w:sz="0" w:space="0" w:color="auto"/>
        <w:left w:val="none" w:sz="0" w:space="0" w:color="auto"/>
        <w:bottom w:val="none" w:sz="0" w:space="0" w:color="auto"/>
        <w:right w:val="none" w:sz="0" w:space="0" w:color="auto"/>
      </w:divBdr>
    </w:div>
    <w:div w:id="421144264">
      <w:bodyDiv w:val="1"/>
      <w:marLeft w:val="0"/>
      <w:marRight w:val="0"/>
      <w:marTop w:val="0"/>
      <w:marBottom w:val="0"/>
      <w:divBdr>
        <w:top w:val="none" w:sz="0" w:space="0" w:color="auto"/>
        <w:left w:val="none" w:sz="0" w:space="0" w:color="auto"/>
        <w:bottom w:val="none" w:sz="0" w:space="0" w:color="auto"/>
        <w:right w:val="none" w:sz="0" w:space="0" w:color="auto"/>
      </w:divBdr>
    </w:div>
    <w:div w:id="504322556">
      <w:bodyDiv w:val="1"/>
      <w:marLeft w:val="0"/>
      <w:marRight w:val="0"/>
      <w:marTop w:val="0"/>
      <w:marBottom w:val="0"/>
      <w:divBdr>
        <w:top w:val="none" w:sz="0" w:space="0" w:color="auto"/>
        <w:left w:val="none" w:sz="0" w:space="0" w:color="auto"/>
        <w:bottom w:val="none" w:sz="0" w:space="0" w:color="auto"/>
        <w:right w:val="none" w:sz="0" w:space="0" w:color="auto"/>
      </w:divBdr>
    </w:div>
    <w:div w:id="536165839">
      <w:bodyDiv w:val="1"/>
      <w:marLeft w:val="0"/>
      <w:marRight w:val="0"/>
      <w:marTop w:val="0"/>
      <w:marBottom w:val="0"/>
      <w:divBdr>
        <w:top w:val="none" w:sz="0" w:space="0" w:color="auto"/>
        <w:left w:val="none" w:sz="0" w:space="0" w:color="auto"/>
        <w:bottom w:val="none" w:sz="0" w:space="0" w:color="auto"/>
        <w:right w:val="none" w:sz="0" w:space="0" w:color="auto"/>
      </w:divBdr>
    </w:div>
    <w:div w:id="543834348">
      <w:bodyDiv w:val="1"/>
      <w:marLeft w:val="0"/>
      <w:marRight w:val="0"/>
      <w:marTop w:val="0"/>
      <w:marBottom w:val="0"/>
      <w:divBdr>
        <w:top w:val="none" w:sz="0" w:space="0" w:color="auto"/>
        <w:left w:val="none" w:sz="0" w:space="0" w:color="auto"/>
        <w:bottom w:val="none" w:sz="0" w:space="0" w:color="auto"/>
        <w:right w:val="none" w:sz="0" w:space="0" w:color="auto"/>
      </w:divBdr>
    </w:div>
    <w:div w:id="548884953">
      <w:bodyDiv w:val="1"/>
      <w:marLeft w:val="0"/>
      <w:marRight w:val="0"/>
      <w:marTop w:val="0"/>
      <w:marBottom w:val="0"/>
      <w:divBdr>
        <w:top w:val="none" w:sz="0" w:space="0" w:color="auto"/>
        <w:left w:val="none" w:sz="0" w:space="0" w:color="auto"/>
        <w:bottom w:val="none" w:sz="0" w:space="0" w:color="auto"/>
        <w:right w:val="none" w:sz="0" w:space="0" w:color="auto"/>
      </w:divBdr>
    </w:div>
    <w:div w:id="571506093">
      <w:bodyDiv w:val="1"/>
      <w:marLeft w:val="0"/>
      <w:marRight w:val="0"/>
      <w:marTop w:val="0"/>
      <w:marBottom w:val="0"/>
      <w:divBdr>
        <w:top w:val="none" w:sz="0" w:space="0" w:color="auto"/>
        <w:left w:val="none" w:sz="0" w:space="0" w:color="auto"/>
        <w:bottom w:val="none" w:sz="0" w:space="0" w:color="auto"/>
        <w:right w:val="none" w:sz="0" w:space="0" w:color="auto"/>
      </w:divBdr>
    </w:div>
    <w:div w:id="628509766">
      <w:bodyDiv w:val="1"/>
      <w:marLeft w:val="0"/>
      <w:marRight w:val="0"/>
      <w:marTop w:val="0"/>
      <w:marBottom w:val="0"/>
      <w:divBdr>
        <w:top w:val="none" w:sz="0" w:space="0" w:color="auto"/>
        <w:left w:val="none" w:sz="0" w:space="0" w:color="auto"/>
        <w:bottom w:val="none" w:sz="0" w:space="0" w:color="auto"/>
        <w:right w:val="none" w:sz="0" w:space="0" w:color="auto"/>
      </w:divBdr>
    </w:div>
    <w:div w:id="632101993">
      <w:bodyDiv w:val="1"/>
      <w:marLeft w:val="0"/>
      <w:marRight w:val="0"/>
      <w:marTop w:val="0"/>
      <w:marBottom w:val="0"/>
      <w:divBdr>
        <w:top w:val="none" w:sz="0" w:space="0" w:color="auto"/>
        <w:left w:val="none" w:sz="0" w:space="0" w:color="auto"/>
        <w:bottom w:val="none" w:sz="0" w:space="0" w:color="auto"/>
        <w:right w:val="none" w:sz="0" w:space="0" w:color="auto"/>
      </w:divBdr>
    </w:div>
    <w:div w:id="707678020">
      <w:bodyDiv w:val="1"/>
      <w:marLeft w:val="0"/>
      <w:marRight w:val="0"/>
      <w:marTop w:val="0"/>
      <w:marBottom w:val="0"/>
      <w:divBdr>
        <w:top w:val="none" w:sz="0" w:space="0" w:color="auto"/>
        <w:left w:val="none" w:sz="0" w:space="0" w:color="auto"/>
        <w:bottom w:val="none" w:sz="0" w:space="0" w:color="auto"/>
        <w:right w:val="none" w:sz="0" w:space="0" w:color="auto"/>
      </w:divBdr>
      <w:divsChild>
        <w:div w:id="1141657827">
          <w:marLeft w:val="0"/>
          <w:marRight w:val="0"/>
          <w:marTop w:val="0"/>
          <w:marBottom w:val="0"/>
          <w:divBdr>
            <w:top w:val="none" w:sz="0" w:space="0" w:color="auto"/>
            <w:left w:val="none" w:sz="0" w:space="0" w:color="auto"/>
            <w:bottom w:val="none" w:sz="0" w:space="0" w:color="auto"/>
            <w:right w:val="none" w:sz="0" w:space="0" w:color="auto"/>
          </w:divBdr>
        </w:div>
      </w:divsChild>
    </w:div>
    <w:div w:id="711883174">
      <w:bodyDiv w:val="1"/>
      <w:marLeft w:val="0"/>
      <w:marRight w:val="0"/>
      <w:marTop w:val="0"/>
      <w:marBottom w:val="0"/>
      <w:divBdr>
        <w:top w:val="none" w:sz="0" w:space="0" w:color="auto"/>
        <w:left w:val="none" w:sz="0" w:space="0" w:color="auto"/>
        <w:bottom w:val="none" w:sz="0" w:space="0" w:color="auto"/>
        <w:right w:val="none" w:sz="0" w:space="0" w:color="auto"/>
      </w:divBdr>
    </w:div>
    <w:div w:id="762258684">
      <w:bodyDiv w:val="1"/>
      <w:marLeft w:val="0"/>
      <w:marRight w:val="0"/>
      <w:marTop w:val="0"/>
      <w:marBottom w:val="0"/>
      <w:divBdr>
        <w:top w:val="none" w:sz="0" w:space="0" w:color="auto"/>
        <w:left w:val="none" w:sz="0" w:space="0" w:color="auto"/>
        <w:bottom w:val="none" w:sz="0" w:space="0" w:color="auto"/>
        <w:right w:val="none" w:sz="0" w:space="0" w:color="auto"/>
      </w:divBdr>
    </w:div>
    <w:div w:id="851459065">
      <w:bodyDiv w:val="1"/>
      <w:marLeft w:val="0"/>
      <w:marRight w:val="0"/>
      <w:marTop w:val="0"/>
      <w:marBottom w:val="0"/>
      <w:divBdr>
        <w:top w:val="none" w:sz="0" w:space="0" w:color="auto"/>
        <w:left w:val="none" w:sz="0" w:space="0" w:color="auto"/>
        <w:bottom w:val="none" w:sz="0" w:space="0" w:color="auto"/>
        <w:right w:val="none" w:sz="0" w:space="0" w:color="auto"/>
      </w:divBdr>
    </w:div>
    <w:div w:id="955067028">
      <w:bodyDiv w:val="1"/>
      <w:marLeft w:val="0"/>
      <w:marRight w:val="0"/>
      <w:marTop w:val="0"/>
      <w:marBottom w:val="0"/>
      <w:divBdr>
        <w:top w:val="none" w:sz="0" w:space="0" w:color="auto"/>
        <w:left w:val="none" w:sz="0" w:space="0" w:color="auto"/>
        <w:bottom w:val="none" w:sz="0" w:space="0" w:color="auto"/>
        <w:right w:val="none" w:sz="0" w:space="0" w:color="auto"/>
      </w:divBdr>
    </w:div>
    <w:div w:id="995960239">
      <w:bodyDiv w:val="1"/>
      <w:marLeft w:val="0"/>
      <w:marRight w:val="0"/>
      <w:marTop w:val="0"/>
      <w:marBottom w:val="0"/>
      <w:divBdr>
        <w:top w:val="none" w:sz="0" w:space="0" w:color="auto"/>
        <w:left w:val="none" w:sz="0" w:space="0" w:color="auto"/>
        <w:bottom w:val="none" w:sz="0" w:space="0" w:color="auto"/>
        <w:right w:val="none" w:sz="0" w:space="0" w:color="auto"/>
      </w:divBdr>
    </w:div>
    <w:div w:id="1012100758">
      <w:bodyDiv w:val="1"/>
      <w:marLeft w:val="0"/>
      <w:marRight w:val="0"/>
      <w:marTop w:val="0"/>
      <w:marBottom w:val="0"/>
      <w:divBdr>
        <w:top w:val="none" w:sz="0" w:space="0" w:color="auto"/>
        <w:left w:val="none" w:sz="0" w:space="0" w:color="auto"/>
        <w:bottom w:val="none" w:sz="0" w:space="0" w:color="auto"/>
        <w:right w:val="none" w:sz="0" w:space="0" w:color="auto"/>
      </w:divBdr>
    </w:div>
    <w:div w:id="1047220797">
      <w:bodyDiv w:val="1"/>
      <w:marLeft w:val="0"/>
      <w:marRight w:val="0"/>
      <w:marTop w:val="0"/>
      <w:marBottom w:val="0"/>
      <w:divBdr>
        <w:top w:val="none" w:sz="0" w:space="0" w:color="auto"/>
        <w:left w:val="none" w:sz="0" w:space="0" w:color="auto"/>
        <w:bottom w:val="none" w:sz="0" w:space="0" w:color="auto"/>
        <w:right w:val="none" w:sz="0" w:space="0" w:color="auto"/>
      </w:divBdr>
    </w:div>
    <w:div w:id="1065759988">
      <w:bodyDiv w:val="1"/>
      <w:marLeft w:val="0"/>
      <w:marRight w:val="0"/>
      <w:marTop w:val="0"/>
      <w:marBottom w:val="0"/>
      <w:divBdr>
        <w:top w:val="none" w:sz="0" w:space="0" w:color="auto"/>
        <w:left w:val="none" w:sz="0" w:space="0" w:color="auto"/>
        <w:bottom w:val="none" w:sz="0" w:space="0" w:color="auto"/>
        <w:right w:val="none" w:sz="0" w:space="0" w:color="auto"/>
      </w:divBdr>
    </w:div>
    <w:div w:id="1146119354">
      <w:bodyDiv w:val="1"/>
      <w:marLeft w:val="0"/>
      <w:marRight w:val="0"/>
      <w:marTop w:val="0"/>
      <w:marBottom w:val="0"/>
      <w:divBdr>
        <w:top w:val="none" w:sz="0" w:space="0" w:color="auto"/>
        <w:left w:val="none" w:sz="0" w:space="0" w:color="auto"/>
        <w:bottom w:val="none" w:sz="0" w:space="0" w:color="auto"/>
        <w:right w:val="none" w:sz="0" w:space="0" w:color="auto"/>
      </w:divBdr>
      <w:divsChild>
        <w:div w:id="93258050">
          <w:marLeft w:val="0"/>
          <w:marRight w:val="0"/>
          <w:marTop w:val="0"/>
          <w:marBottom w:val="0"/>
          <w:divBdr>
            <w:top w:val="none" w:sz="0" w:space="0" w:color="auto"/>
            <w:left w:val="none" w:sz="0" w:space="0" w:color="auto"/>
            <w:bottom w:val="none" w:sz="0" w:space="0" w:color="auto"/>
            <w:right w:val="none" w:sz="0" w:space="0" w:color="auto"/>
          </w:divBdr>
        </w:div>
      </w:divsChild>
    </w:div>
    <w:div w:id="1288849498">
      <w:bodyDiv w:val="1"/>
      <w:marLeft w:val="0"/>
      <w:marRight w:val="0"/>
      <w:marTop w:val="0"/>
      <w:marBottom w:val="0"/>
      <w:divBdr>
        <w:top w:val="none" w:sz="0" w:space="0" w:color="auto"/>
        <w:left w:val="none" w:sz="0" w:space="0" w:color="auto"/>
        <w:bottom w:val="none" w:sz="0" w:space="0" w:color="auto"/>
        <w:right w:val="none" w:sz="0" w:space="0" w:color="auto"/>
      </w:divBdr>
    </w:div>
    <w:div w:id="1352993935">
      <w:bodyDiv w:val="1"/>
      <w:marLeft w:val="0"/>
      <w:marRight w:val="0"/>
      <w:marTop w:val="0"/>
      <w:marBottom w:val="0"/>
      <w:divBdr>
        <w:top w:val="none" w:sz="0" w:space="0" w:color="auto"/>
        <w:left w:val="none" w:sz="0" w:space="0" w:color="auto"/>
        <w:bottom w:val="none" w:sz="0" w:space="0" w:color="auto"/>
        <w:right w:val="none" w:sz="0" w:space="0" w:color="auto"/>
      </w:divBdr>
    </w:div>
    <w:div w:id="1457022170">
      <w:bodyDiv w:val="1"/>
      <w:marLeft w:val="0"/>
      <w:marRight w:val="0"/>
      <w:marTop w:val="0"/>
      <w:marBottom w:val="0"/>
      <w:divBdr>
        <w:top w:val="none" w:sz="0" w:space="0" w:color="auto"/>
        <w:left w:val="none" w:sz="0" w:space="0" w:color="auto"/>
        <w:bottom w:val="none" w:sz="0" w:space="0" w:color="auto"/>
        <w:right w:val="none" w:sz="0" w:space="0" w:color="auto"/>
      </w:divBdr>
    </w:div>
    <w:div w:id="1462187612">
      <w:bodyDiv w:val="1"/>
      <w:marLeft w:val="0"/>
      <w:marRight w:val="0"/>
      <w:marTop w:val="0"/>
      <w:marBottom w:val="0"/>
      <w:divBdr>
        <w:top w:val="none" w:sz="0" w:space="0" w:color="auto"/>
        <w:left w:val="none" w:sz="0" w:space="0" w:color="auto"/>
        <w:bottom w:val="none" w:sz="0" w:space="0" w:color="auto"/>
        <w:right w:val="none" w:sz="0" w:space="0" w:color="auto"/>
      </w:divBdr>
    </w:div>
    <w:div w:id="1531527565">
      <w:bodyDiv w:val="1"/>
      <w:marLeft w:val="0"/>
      <w:marRight w:val="0"/>
      <w:marTop w:val="0"/>
      <w:marBottom w:val="0"/>
      <w:divBdr>
        <w:top w:val="none" w:sz="0" w:space="0" w:color="auto"/>
        <w:left w:val="none" w:sz="0" w:space="0" w:color="auto"/>
        <w:bottom w:val="none" w:sz="0" w:space="0" w:color="auto"/>
        <w:right w:val="none" w:sz="0" w:space="0" w:color="auto"/>
      </w:divBdr>
    </w:div>
    <w:div w:id="1574466212">
      <w:marLeft w:val="0"/>
      <w:marRight w:val="0"/>
      <w:marTop w:val="0"/>
      <w:marBottom w:val="0"/>
      <w:divBdr>
        <w:top w:val="none" w:sz="0" w:space="0" w:color="auto"/>
        <w:left w:val="none" w:sz="0" w:space="0" w:color="auto"/>
        <w:bottom w:val="none" w:sz="0" w:space="0" w:color="auto"/>
        <w:right w:val="none" w:sz="0" w:space="0" w:color="auto"/>
      </w:divBdr>
      <w:divsChild>
        <w:div w:id="117380800">
          <w:marLeft w:val="0"/>
          <w:marRight w:val="0"/>
          <w:marTop w:val="0"/>
          <w:marBottom w:val="0"/>
          <w:divBdr>
            <w:top w:val="none" w:sz="0" w:space="0" w:color="auto"/>
            <w:left w:val="none" w:sz="0" w:space="0" w:color="auto"/>
            <w:bottom w:val="none" w:sz="0" w:space="0" w:color="auto"/>
            <w:right w:val="none" w:sz="0" w:space="0" w:color="auto"/>
          </w:divBdr>
        </w:div>
      </w:divsChild>
    </w:div>
    <w:div w:id="1818911517">
      <w:bodyDiv w:val="1"/>
      <w:marLeft w:val="0"/>
      <w:marRight w:val="0"/>
      <w:marTop w:val="0"/>
      <w:marBottom w:val="0"/>
      <w:divBdr>
        <w:top w:val="none" w:sz="0" w:space="0" w:color="auto"/>
        <w:left w:val="none" w:sz="0" w:space="0" w:color="auto"/>
        <w:bottom w:val="none" w:sz="0" w:space="0" w:color="auto"/>
        <w:right w:val="none" w:sz="0" w:space="0" w:color="auto"/>
      </w:divBdr>
    </w:div>
    <w:div w:id="1827866592">
      <w:bodyDiv w:val="1"/>
      <w:marLeft w:val="0"/>
      <w:marRight w:val="0"/>
      <w:marTop w:val="0"/>
      <w:marBottom w:val="0"/>
      <w:divBdr>
        <w:top w:val="none" w:sz="0" w:space="0" w:color="auto"/>
        <w:left w:val="none" w:sz="0" w:space="0" w:color="auto"/>
        <w:bottom w:val="none" w:sz="0" w:space="0" w:color="auto"/>
        <w:right w:val="none" w:sz="0" w:space="0" w:color="auto"/>
      </w:divBdr>
    </w:div>
    <w:div w:id="1832984028">
      <w:bodyDiv w:val="1"/>
      <w:marLeft w:val="0"/>
      <w:marRight w:val="0"/>
      <w:marTop w:val="0"/>
      <w:marBottom w:val="0"/>
      <w:divBdr>
        <w:top w:val="none" w:sz="0" w:space="0" w:color="auto"/>
        <w:left w:val="none" w:sz="0" w:space="0" w:color="auto"/>
        <w:bottom w:val="none" w:sz="0" w:space="0" w:color="auto"/>
        <w:right w:val="none" w:sz="0" w:space="0" w:color="auto"/>
      </w:divBdr>
    </w:div>
    <w:div w:id="1862816637">
      <w:bodyDiv w:val="1"/>
      <w:marLeft w:val="0"/>
      <w:marRight w:val="0"/>
      <w:marTop w:val="0"/>
      <w:marBottom w:val="0"/>
      <w:divBdr>
        <w:top w:val="none" w:sz="0" w:space="0" w:color="auto"/>
        <w:left w:val="none" w:sz="0" w:space="0" w:color="auto"/>
        <w:bottom w:val="none" w:sz="0" w:space="0" w:color="auto"/>
        <w:right w:val="none" w:sz="0" w:space="0" w:color="auto"/>
      </w:divBdr>
    </w:div>
    <w:div w:id="21005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be39ec352ed54c9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f330f4c-ddc6-41ff-99f4-b6c34539288c}"/>
      </w:docPartPr>
      <w:docPartBody>
        <w:p w14:paraId="1ED25E3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7649155397944B18CE1B9093D6805" ma:contentTypeVersion="19" ma:contentTypeDescription="Create a new document." ma:contentTypeScope="" ma:versionID="c7945f24db1132283606847b5c29cc13">
  <xsd:schema xmlns:xsd="http://www.w3.org/2001/XMLSchema" xmlns:xs="http://www.w3.org/2001/XMLSchema" xmlns:p="http://schemas.microsoft.com/office/2006/metadata/properties" xmlns:ns2="fc749cf6-2fa5-469f-9513-669a5055685c" xmlns:ns3="8687d7a2-52f3-4734-bf71-7070c2f04360" xmlns:ns4="985ec44e-1bab-4c0b-9df0-6ba128686fc9" targetNamespace="http://schemas.microsoft.com/office/2006/metadata/properties" ma:root="true" ma:fieldsID="039800aea7c412fc2ba70ba34c67479c" ns2:_="" ns3:_="" ns4:_="">
    <xsd:import namespace="fc749cf6-2fa5-469f-9513-669a5055685c"/>
    <xsd:import namespace="8687d7a2-52f3-4734-bf71-7070c2f0436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Country"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49cf6-2fa5-469f-9513-669a50556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untry" ma:index="18" nillable="true" ma:displayName="Country" ma:format="Dropdown" ma:internalName="Country">
      <xsd:simpleType>
        <xsd:restriction base="dms:Choice">
          <xsd:enumeration value="Myanmar"/>
          <xsd:enumeration value="Somalia"/>
          <xsd:enumeration value="Chad"/>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b0f1db-d67c-437c-acce-65608d149cc6}" ma:internalName="TaxCatchAll" ma:showField="CatchAllData" ma:web="8687d7a2-52f3-4734-bf71-7070c2f04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687d7a2-52f3-4734-bf71-7070c2f04360">
      <UserInfo>
        <DisplayName>Martin Buettner</DisplayName>
        <AccountId>181</AccountId>
        <AccountType/>
      </UserInfo>
      <UserInfo>
        <DisplayName>Farah Ossman</DisplayName>
        <AccountId>562</AccountId>
        <AccountType/>
      </UserInfo>
    </SharedWithUsers>
    <Country xmlns="fc749cf6-2fa5-469f-9513-669a5055685c" xsi:nil="true"/>
    <lcf76f155ced4ddcb4097134ff3c332f xmlns="fc749cf6-2fa5-469f-9513-669a5055685c">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23C8-DE5F-4453-B0F8-ED866B4F15A5}"/>
</file>

<file path=customXml/itemProps2.xml><?xml version="1.0" encoding="utf-8"?>
<ds:datastoreItem xmlns:ds="http://schemas.openxmlformats.org/officeDocument/2006/customXml" ds:itemID="{C9CFAF55-23FF-4D5C-911C-15546824E348}">
  <ds:schemaRefs>
    <ds:schemaRef ds:uri="http://schemas.microsoft.com/sharepoint/v3/contenttype/forms"/>
  </ds:schemaRefs>
</ds:datastoreItem>
</file>

<file path=customXml/itemProps3.xml><?xml version="1.0" encoding="utf-8"?>
<ds:datastoreItem xmlns:ds="http://schemas.openxmlformats.org/officeDocument/2006/customXml" ds:itemID="{09A228C9-A651-4601-8DA2-C8B0704583C9}">
  <ds:schemaRefs>
    <ds:schemaRef ds:uri="http://schemas.microsoft.com/office/2006/metadata/properties"/>
    <ds:schemaRef ds:uri="http://schemas.microsoft.com/office/infopath/2007/PartnerControls"/>
    <ds:schemaRef ds:uri="f37b6c17-c936-4c83-9a95-f84eebee8e27"/>
  </ds:schemaRefs>
</ds:datastoreItem>
</file>

<file path=customXml/itemProps4.xml><?xml version="1.0" encoding="utf-8"?>
<ds:datastoreItem xmlns:ds="http://schemas.openxmlformats.org/officeDocument/2006/customXml" ds:itemID="{B91A020C-AC9A-4552-98E6-6F16CAFE47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Wang</dc:creator>
  <cp:keywords/>
  <dc:description/>
  <cp:lastModifiedBy>Elizabeth Rose Carpentier Baugh</cp:lastModifiedBy>
  <cp:revision>481</cp:revision>
  <dcterms:created xsi:type="dcterms:W3CDTF">2021-06-04T15:50:00Z</dcterms:created>
  <dcterms:modified xsi:type="dcterms:W3CDTF">2024-04-12T10:32:00Z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0x010100C837649155397944B18CE1B9093D6805</vt:lpwstr>
  </property>
  <property fmtid="{D5CDD505-2E9C-101B-9397-08002B2CF9AE}" pid="3" name="MediaServiceImageTags">
    <vt:lpwstr/>
  </property>
</Properties>
</file>